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pStyle w:val="BodyText"/>
        <w:rPr>
          <w:rFonts w:ascii="Times New Roman"/>
          <w:sz w:val="18"/>
          <w:szCs w:val="18"/>
          <w:lang w:val="es-US"/>
        </w:rPr>
      </w:pPr>
    </w:p>
    <w:p>
      <w:pPr>
        <w:pStyle w:val="BodyText"/>
        <w:spacing w:before="168"/>
        <w:rPr>
          <w:rFonts w:ascii="Times New Roman"/>
          <w:sz w:val="18"/>
          <w:szCs w:val="18"/>
          <w:lang w:val="es-US"/>
        </w:rPr>
      </w:pPr>
    </w:p>
    <w:p>
      <w:pPr>
        <w:pStyle w:val="Heading2"/>
        <w:numPr>
          <w:ilvl w:val="0"/>
          <w:numId w:val="8"/>
        </w:numPr>
        <w:tabs>
          <w:tab w:val="left" w:pos="477"/>
        </w:tabs>
        <w:spacing w:before="1"/>
        <w:ind w:left="477" w:hanging="223"/>
        <w:rPr>
          <w:sz w:val="18"/>
          <w:szCs w:val="18"/>
          <w:lang w:val="es-US"/>
        </w:rPr>
      </w:pPr>
      <w:r>
        <w:rPr>
          <w:sz w:val="18"/>
          <w:szCs w:val="18"/>
          <w:lang w:val="es-US"/>
        </w:rPr>
        <w:t>IDENTIFICACIÓN DEL PRODUCTO Y LA EMPRESA</w:t>
      </w:r>
    </w:p>
    <w:p>
      <w:pPr>
        <w:pStyle w:val="Heading3"/>
        <w:numPr>
          <w:ilvl w:val="1"/>
          <w:numId w:val="8"/>
        </w:numPr>
        <w:tabs>
          <w:tab w:val="left" w:pos="910"/>
        </w:tabs>
        <w:spacing w:before="104" w:line="228" w:lineRule="exact"/>
        <w:ind w:left="910" w:hanging="431"/>
        <w:rPr>
          <w:b w:val="0"/>
          <w:sz w:val="18"/>
          <w:szCs w:val="18"/>
          <w:lang w:val="es-US"/>
        </w:rPr>
      </w:pPr>
      <w:r>
        <w:rPr>
          <w:sz w:val="18"/>
          <w:szCs w:val="18"/>
          <w:lang w:val="es-US"/>
        </w:rPr>
        <w:t>Identificadores del producto</w:t>
      </w:r>
    </w:p>
    <w:p>
      <w:pPr>
        <w:pStyle w:val="BodyText"/>
        <w:spacing w:line="228" w:lineRule="exact"/>
        <w:ind w:left="929"/>
        <w:rPr>
          <w:sz w:val="18"/>
          <w:szCs w:val="18"/>
          <w:lang w:val="es-US"/>
        </w:rPr>
      </w:pPr>
      <w:r>
        <w:rPr>
          <w:sz w:val="18"/>
          <w:szCs w:val="18"/>
          <w:lang w:val="es-US"/>
        </w:rPr>
        <w:t>Nombre del producto: Sellador vertible de un paso EverGuard</w:t>
      </w:r>
    </w:p>
    <w:p>
      <w:pPr>
        <w:pStyle w:val="Heading3"/>
        <w:numPr>
          <w:ilvl w:val="1"/>
          <w:numId w:val="8"/>
        </w:numPr>
        <w:tabs>
          <w:tab w:val="left" w:pos="910"/>
        </w:tabs>
        <w:spacing w:before="147" w:line="227" w:lineRule="exact"/>
        <w:ind w:left="910" w:hanging="431"/>
        <w:rPr>
          <w:sz w:val="18"/>
          <w:szCs w:val="18"/>
          <w:lang w:val="es-US"/>
        </w:rPr>
      </w:pPr>
      <w:r>
        <w:rPr>
          <w:sz w:val="18"/>
          <w:szCs w:val="18"/>
          <w:lang w:val="es-US"/>
        </w:rPr>
        <w:t>Usos relevantes y usos no recomendados identificados de la sustancia o mezcla</w:t>
      </w:r>
    </w:p>
    <w:p>
      <w:pPr>
        <w:spacing w:line="265" w:lineRule="exact"/>
        <w:ind w:left="974"/>
        <w:rPr>
          <w:rFonts w:ascii="Calibri"/>
          <w:sz w:val="20"/>
          <w:szCs w:val="20"/>
          <w:lang w:val="es-US"/>
        </w:rPr>
      </w:pPr>
      <w:r>
        <w:rPr>
          <w:rFonts w:ascii="Calibri" w:eastAsia="Calibri" w:hAnsi="Calibri"/>
          <w:sz w:val="20"/>
          <w:szCs w:val="20"/>
          <w:lang w:val="es-US"/>
        </w:rPr>
        <w:t>Usos identificados: Sellador</w:t>
      </w:r>
    </w:p>
    <w:p>
      <w:pPr>
        <w:pStyle w:val="Heading1"/>
        <w:numPr>
          <w:ilvl w:val="1"/>
          <w:numId w:val="8"/>
        </w:numPr>
        <w:tabs>
          <w:tab w:val="left" w:pos="911"/>
        </w:tabs>
        <w:spacing w:before="109" w:line="265" w:lineRule="exact"/>
        <w:ind w:left="911" w:hanging="432"/>
        <w:rPr>
          <w:sz w:val="20"/>
          <w:szCs w:val="20"/>
          <w:lang w:val="es-US"/>
        </w:rPr>
      </w:pPr>
      <w:r>
        <w:rPr>
          <w:rFonts w:ascii="Arial" w:eastAsia="Arial" w:hAnsi="Arial"/>
          <w:sz w:val="18"/>
          <w:szCs w:val="18"/>
          <w:lang w:val="es-US"/>
        </w:rPr>
        <w:t xml:space="preserve">Detalles </w:t>
      </w:r>
      <w:r>
        <w:rPr>
          <w:sz w:val="20"/>
          <w:szCs w:val="20"/>
          <w:lang w:val="es-US"/>
        </w:rPr>
        <w:t>del proveedor de la hoja de datos de seguridad</w:t>
      </w:r>
    </w:p>
    <w:p>
      <w:pPr>
        <w:pStyle w:val="BodyText"/>
        <w:tabs>
          <w:tab w:val="left" w:pos="3568"/>
          <w:tab w:val="left" w:pos="3853"/>
        </w:tabs>
        <w:spacing w:line="227" w:lineRule="exact"/>
        <w:ind w:left="974"/>
        <w:rPr>
          <w:sz w:val="18"/>
          <w:szCs w:val="18"/>
          <w:lang w:val="es-US"/>
        </w:rPr>
      </w:pPr>
      <w:r>
        <w:rPr>
          <w:sz w:val="18"/>
          <w:szCs w:val="18"/>
          <w:lang w:val="es-US"/>
        </w:rPr>
        <w:t>Proveedor</w:t>
      </w:r>
      <w:r>
        <w:rPr>
          <w:sz w:val="18"/>
          <w:szCs w:val="18"/>
          <w:lang w:val="es-US"/>
        </w:rPr>
        <w:tab/>
        <w:t>:</w:t>
      </w:r>
      <w:r>
        <w:rPr>
          <w:sz w:val="18"/>
          <w:szCs w:val="18"/>
          <w:lang w:val="es-US"/>
        </w:rPr>
        <w:tab/>
        <w:t>GAF</w:t>
      </w:r>
    </w:p>
    <w:p>
      <w:pPr>
        <w:pStyle w:val="BodyText"/>
        <w:ind w:left="3854"/>
        <w:rPr>
          <w:sz w:val="18"/>
          <w:szCs w:val="18"/>
          <w:lang w:val="es-US"/>
        </w:rPr>
      </w:pPr>
      <w:r>
        <w:rPr>
          <w:sz w:val="18"/>
          <w:szCs w:val="18"/>
          <w:lang w:val="es-US"/>
        </w:rPr>
        <w:t>1 Campus Drive,</w:t>
      </w:r>
    </w:p>
    <w:p>
      <w:pPr>
        <w:pStyle w:val="BodyText"/>
        <w:ind w:left="3854" w:right="5646"/>
        <w:rPr>
          <w:sz w:val="18"/>
          <w:szCs w:val="18"/>
          <w:lang w:val="es-US"/>
        </w:rPr>
      </w:pPr>
      <w:r>
        <w:rPr>
          <w:sz w:val="18"/>
          <w:szCs w:val="18"/>
          <w:lang w:val="es-US"/>
        </w:rPr>
        <w:t>Parsippany, NJ 07054 EE. UU.</w:t>
      </w:r>
    </w:p>
    <w:p>
      <w:pPr>
        <w:pStyle w:val="BodyText"/>
        <w:tabs>
          <w:tab w:val="left" w:pos="3568"/>
          <w:tab w:val="left" w:pos="3853"/>
        </w:tabs>
        <w:spacing w:before="115"/>
        <w:ind w:left="974"/>
        <w:rPr>
          <w:sz w:val="18"/>
          <w:szCs w:val="18"/>
          <w:lang w:val="es-US"/>
        </w:rPr>
      </w:pPr>
      <w:r>
        <w:rPr>
          <w:sz w:val="18"/>
          <w:szCs w:val="18"/>
          <w:lang w:val="es-US"/>
        </w:rPr>
        <w:t>Teléfono:</w:t>
      </w:r>
      <w:r>
        <w:rPr>
          <w:sz w:val="18"/>
          <w:szCs w:val="18"/>
          <w:lang w:val="es-US"/>
        </w:rPr>
        <w:tab/>
        <w:t>:</w:t>
      </w:r>
      <w:r>
        <w:rPr>
          <w:sz w:val="18"/>
          <w:szCs w:val="18"/>
          <w:lang w:val="es-US"/>
        </w:rPr>
        <w:tab/>
      </w:r>
      <w:r>
        <w:rPr>
          <w:color w:val="212121"/>
          <w:sz w:val="18"/>
          <w:szCs w:val="18"/>
          <w:shd w:val="clear" w:color="auto" w:fill="F5F5F5"/>
          <w:lang w:val="es-US"/>
        </w:rPr>
        <w:t>877-GAF-ROOF</w:t>
      </w:r>
    </w:p>
    <w:p>
      <w:pPr>
        <w:pStyle w:val="Heading1"/>
        <w:numPr>
          <w:ilvl w:val="1"/>
          <w:numId w:val="8"/>
        </w:numPr>
        <w:tabs>
          <w:tab w:val="left" w:pos="910"/>
        </w:tabs>
        <w:spacing w:line="240" w:lineRule="auto"/>
        <w:ind w:left="910" w:hanging="431"/>
        <w:rPr>
          <w:b w:val="0"/>
          <w:sz w:val="20"/>
          <w:szCs w:val="20"/>
          <w:lang w:val="es-US"/>
        </w:rPr>
      </w:pPr>
      <w:r>
        <w:rPr>
          <w:sz w:val="20"/>
          <w:szCs w:val="20"/>
          <w:lang w:val="es-US"/>
        </w:rPr>
        <w:t>Número de teléfono para emergencias</w:t>
      </w:r>
    </w:p>
    <w:p>
      <w:pPr>
        <w:pStyle w:val="BodyText"/>
        <w:tabs>
          <w:tab w:val="left" w:pos="3853"/>
        </w:tabs>
        <w:spacing w:before="116"/>
        <w:ind w:left="974"/>
        <w:rPr>
          <w:sz w:val="18"/>
          <w:szCs w:val="18"/>
          <w:lang w:val="es-US"/>
        </w:rPr>
      </w:pPr>
      <w:r>
        <w:rPr>
          <w:sz w:val="18"/>
          <w:szCs w:val="18"/>
          <w:lang w:val="es-US"/>
        </w:rPr>
        <w:t>Teléfono de emergencia las 24 horas:</w:t>
      </w:r>
      <w:r>
        <w:rPr>
          <w:sz w:val="18"/>
          <w:szCs w:val="18"/>
          <w:lang w:val="es-US"/>
        </w:rPr>
        <w:tab/>
        <w:t>800-424-9300 (ChemTrec)</w:t>
      </w:r>
    </w:p>
    <w:p>
      <w:pPr>
        <w:pStyle w:val="Heading2"/>
        <w:numPr>
          <w:ilvl w:val="0"/>
          <w:numId w:val="8"/>
        </w:numPr>
        <w:tabs>
          <w:tab w:val="left" w:pos="477"/>
        </w:tabs>
        <w:spacing w:before="179"/>
        <w:ind w:left="477" w:hanging="223"/>
        <w:rPr>
          <w:sz w:val="18"/>
          <w:szCs w:val="18"/>
          <w:lang w:val="es-US"/>
        </w:rPr>
      </w:pPr>
      <w:r>
        <w:rPr>
          <w:sz w:val="18"/>
          <w:szCs w:val="18"/>
          <w:lang w:val="es-US"/>
        </w:rPr>
        <w:t>IDENTIFICACIÓN DE RIESGOS</w:t>
      </w:r>
    </w:p>
    <w:p>
      <w:pPr>
        <w:pStyle w:val="Heading3"/>
        <w:spacing w:before="104"/>
        <w:ind w:left="479"/>
        <w:rPr>
          <w:sz w:val="18"/>
          <w:szCs w:val="18"/>
          <w:lang w:val="es-US"/>
        </w:rPr>
      </w:pPr>
      <w:r>
        <w:rPr>
          <w:b w:val="0"/>
          <w:sz w:val="18"/>
          <w:szCs w:val="18"/>
          <w:lang w:val="es-US"/>
        </w:rPr>
        <w:t xml:space="preserve">2.1. </w:t>
      </w:r>
      <w:r>
        <w:rPr>
          <w:sz w:val="18"/>
          <w:szCs w:val="18"/>
          <w:lang w:val="es-US"/>
        </w:rPr>
        <w:t>Clasificación de la sustancia o mezcla</w:t>
      </w:r>
    </w:p>
    <w:p>
      <w:pPr>
        <w:spacing w:before="119"/>
        <w:ind w:left="974"/>
        <w:rPr>
          <w:b/>
          <w:sz w:val="18"/>
          <w:szCs w:val="20"/>
          <w:lang w:val="es-US"/>
        </w:rPr>
      </w:pPr>
      <w:r>
        <w:rPr>
          <w:b/>
          <w:bCs/>
          <w:sz w:val="18"/>
          <w:szCs w:val="18"/>
          <w:lang w:val="es-US"/>
        </w:rPr>
        <w:t>Clasificación del GHS de acuerdo con 29 CFR 1910 (OSHA HCS)</w:t>
      </w:r>
    </w:p>
    <w:p>
      <w:pPr>
        <w:pStyle w:val="BodyText"/>
        <w:tabs>
          <w:tab w:val="left" w:pos="4438"/>
        </w:tabs>
        <w:spacing w:before="112"/>
        <w:ind w:left="974"/>
        <w:rPr>
          <w:sz w:val="18"/>
          <w:szCs w:val="18"/>
          <w:lang w:val="es-US"/>
        </w:rPr>
      </w:pPr>
      <w:r>
        <w:rPr>
          <w:sz w:val="18"/>
          <w:szCs w:val="18"/>
          <w:lang w:val="es-US"/>
        </w:rPr>
        <w:t>Sensibilización de la piel</w:t>
      </w:r>
      <w:r>
        <w:rPr>
          <w:sz w:val="18"/>
          <w:szCs w:val="18"/>
          <w:lang w:val="es-US"/>
        </w:rPr>
        <w:tab/>
        <w:t>Categoría 1B</w:t>
      </w:r>
    </w:p>
    <w:p>
      <w:pPr>
        <w:pStyle w:val="BodyText"/>
        <w:tabs>
          <w:tab w:val="left" w:pos="4438"/>
        </w:tabs>
        <w:spacing w:before="110"/>
        <w:ind w:left="974"/>
        <w:rPr>
          <w:sz w:val="18"/>
          <w:szCs w:val="18"/>
          <w:lang w:val="es-US"/>
        </w:rPr>
      </w:pPr>
      <w:r>
        <w:rPr>
          <w:sz w:val="18"/>
          <w:szCs w:val="18"/>
          <w:lang w:val="es-US"/>
        </w:rPr>
        <w:t>Reproductivo:</w:t>
      </w:r>
      <w:r>
        <w:rPr>
          <w:sz w:val="18"/>
          <w:szCs w:val="18"/>
          <w:lang w:val="es-US"/>
        </w:rPr>
        <w:tab/>
        <w:t>Categoría 2</w:t>
      </w:r>
    </w:p>
    <w:p>
      <w:pPr>
        <w:pStyle w:val="Heading3"/>
        <w:spacing w:before="111"/>
        <w:ind w:left="974"/>
        <w:rPr>
          <w:sz w:val="18"/>
          <w:szCs w:val="18"/>
          <w:lang w:val="es-US"/>
        </w:rPr>
      </w:pPr>
      <w:r>
        <w:rPr>
          <w:sz w:val="18"/>
          <w:szCs w:val="18"/>
          <w:lang w:val="es-US"/>
        </w:rPr>
        <w:t>Pictograma:</w:t>
      </w:r>
    </w:p>
    <w:p>
      <w:pPr>
        <w:tabs>
          <w:tab w:val="left" w:pos="3853"/>
        </w:tabs>
        <w:spacing w:before="63"/>
        <w:ind w:left="974"/>
        <w:rPr>
          <w:sz w:val="18"/>
          <w:szCs w:val="20"/>
          <w:lang w:val="es-US"/>
        </w:rPr>
      </w:pPr>
      <w:r>
        <w:rPr>
          <w:b/>
          <w:bCs/>
          <w:sz w:val="18"/>
          <w:szCs w:val="18"/>
          <w:lang w:val="es-US"/>
        </w:rPr>
        <w:t xml:space="preserve">Palabra clave: </w:t>
      </w:r>
      <w:r>
        <w:rPr>
          <w:sz w:val="18"/>
          <w:szCs w:val="18"/>
          <w:lang w:val="es-US"/>
        </w:rPr>
        <w:t>Advertencia</w:t>
      </w:r>
      <w:r>
        <w:rPr>
          <w:sz w:val="18"/>
          <w:szCs w:val="18"/>
          <w:lang w:val="es-US"/>
        </w:rPr>
        <w:tab/>
      </w:r>
      <w:r>
        <w:rPr>
          <w:noProof/>
          <w:position w:val="-12"/>
          <w:sz w:val="18"/>
          <w:szCs w:val="20"/>
          <w:lang w:val="es-US"/>
        </w:rPr>
        <w:drawing>
          <wp:inline distT="0" distB="0" distL="0" distR="0">
            <wp:extent cx="1571625" cy="733425"/>
            <wp:effectExtent l="0" t="0" r="0" b="0"/>
            <wp:docPr id="6" name="Image 6"/>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7" cstate="print"/>
                    <a:stretch>
                      <a:fillRect/>
                    </a:stretch>
                  </pic:blipFill>
                  <pic:spPr>
                    <a:xfrm>
                      <a:off x="0" y="0"/>
                      <a:ext cx="1571625" cy="733425"/>
                    </a:xfrm>
                    <a:prstGeom prst="rect">
                      <a:avLst/>
                    </a:prstGeom>
                  </pic:spPr>
                </pic:pic>
              </a:graphicData>
            </a:graphic>
          </wp:inline>
        </w:drawing>
      </w:r>
    </w:p>
    <w:p>
      <w:pPr>
        <w:pStyle w:val="Heading3"/>
        <w:spacing w:before="21"/>
        <w:ind w:left="974"/>
        <w:rPr>
          <w:sz w:val="18"/>
          <w:szCs w:val="18"/>
          <w:lang w:val="es-US"/>
        </w:rPr>
      </w:pPr>
      <w:r>
        <w:rPr>
          <w:sz w:val="18"/>
          <w:szCs w:val="18"/>
          <w:lang w:val="es-US"/>
        </w:rPr>
        <w:t>Indicaciones de peligro</w:t>
      </w:r>
    </w:p>
    <w:p>
      <w:pPr>
        <w:pStyle w:val="BodyText"/>
        <w:ind w:left="974" w:right="5770"/>
        <w:rPr>
          <w:sz w:val="18"/>
          <w:szCs w:val="18"/>
          <w:lang w:val="es-US"/>
        </w:rPr>
      </w:pPr>
      <w:r>
        <w:rPr>
          <w:sz w:val="18"/>
          <w:szCs w:val="18"/>
          <w:lang w:val="es-US"/>
        </w:rPr>
        <w:t>Se sospecha que afecta a la fertilidad o al feto. Puede causar una reacción alérgica en la piel.</w:t>
      </w:r>
    </w:p>
    <w:p>
      <w:pPr>
        <w:pStyle w:val="BodyText"/>
        <w:rPr>
          <w:sz w:val="18"/>
          <w:szCs w:val="18"/>
          <w:lang w:val="es-US"/>
        </w:rPr>
      </w:pPr>
    </w:p>
    <w:p>
      <w:pPr>
        <w:pStyle w:val="Heading3"/>
        <w:spacing w:before="0" w:line="226" w:lineRule="exact"/>
        <w:ind w:left="974"/>
        <w:rPr>
          <w:sz w:val="18"/>
          <w:szCs w:val="18"/>
          <w:lang w:val="es-US"/>
        </w:rPr>
      </w:pPr>
      <w:r>
        <w:rPr>
          <w:sz w:val="18"/>
          <w:szCs w:val="18"/>
          <w:lang w:val="es-US"/>
        </w:rPr>
        <w:t>Medidas de precaución:</w:t>
      </w:r>
    </w:p>
    <w:p>
      <w:pPr>
        <w:pStyle w:val="BodyText"/>
        <w:spacing w:before="5" w:line="228" w:lineRule="auto"/>
        <w:ind w:left="974" w:right="5020"/>
        <w:rPr>
          <w:sz w:val="18"/>
          <w:szCs w:val="18"/>
          <w:lang w:val="es-US"/>
        </w:rPr>
      </w:pPr>
      <w:r>
        <w:rPr>
          <w:sz w:val="18"/>
          <w:szCs w:val="18"/>
          <w:lang w:val="es-US"/>
        </w:rPr>
        <w:t>Reciba, lea y siga todas las instrucciones de seguridad antes de su uso. Evite respirar polvos/humos/gases/niebla/vapores/rocío.</w:t>
      </w:r>
    </w:p>
    <w:p>
      <w:pPr>
        <w:pStyle w:val="BodyText"/>
        <w:spacing w:before="2" w:line="228" w:lineRule="auto"/>
        <w:ind w:left="974" w:right="3852"/>
        <w:rPr>
          <w:sz w:val="18"/>
          <w:szCs w:val="18"/>
          <w:lang w:val="es-US"/>
        </w:rPr>
      </w:pPr>
      <w:r>
        <w:rPr>
          <w:sz w:val="18"/>
          <w:szCs w:val="18"/>
          <w:lang w:val="es-US"/>
        </w:rPr>
        <w:t>No se permite retirar la vestimenta contaminada del lugar de trabajo. Use gafas, máscaras para el rostro, vestimenta de protección, guantes protectores.</w:t>
      </w:r>
    </w:p>
    <w:p>
      <w:pPr>
        <w:pStyle w:val="BodyText"/>
        <w:spacing w:before="212" w:line="225" w:lineRule="exact"/>
        <w:ind w:left="974"/>
        <w:rPr>
          <w:sz w:val="18"/>
          <w:szCs w:val="18"/>
          <w:lang w:val="es-US"/>
        </w:rPr>
      </w:pPr>
      <w:r>
        <w:rPr>
          <w:sz w:val="18"/>
          <w:szCs w:val="18"/>
          <w:lang w:val="es-US"/>
        </w:rPr>
        <w:t>Si el producto entró en contacto con la piel: Lave con abundante agua. Tratamiento específico (consulte esta etiqueta).</w:t>
      </w:r>
    </w:p>
    <w:p>
      <w:pPr>
        <w:pStyle w:val="BodyText"/>
        <w:spacing w:before="4" w:line="228" w:lineRule="auto"/>
        <w:ind w:left="974" w:right="318"/>
        <w:rPr>
          <w:sz w:val="18"/>
          <w:szCs w:val="18"/>
          <w:lang w:val="es-US"/>
        </w:rPr>
      </w:pPr>
      <w:r>
        <w:rPr>
          <w:sz w:val="18"/>
          <w:szCs w:val="18"/>
          <w:lang w:val="es-US"/>
        </w:rPr>
        <w:t>En caso de contacto con los ojos: Enjuagar cuidadosamente con agua durante varios minutos. Quítese las lentes de contacto, cuando estén presentes y pueda hacerse con facilidad. Siga enjuagando.</w:t>
      </w:r>
    </w:p>
    <w:p>
      <w:pPr>
        <w:pStyle w:val="BodyText"/>
        <w:spacing w:before="2" w:line="228" w:lineRule="auto"/>
        <w:ind w:left="974" w:right="5770"/>
        <w:rPr>
          <w:sz w:val="18"/>
          <w:szCs w:val="18"/>
          <w:lang w:val="es-US"/>
        </w:rPr>
      </w:pPr>
      <w:r>
        <w:rPr>
          <w:sz w:val="18"/>
          <w:szCs w:val="18"/>
          <w:lang w:val="es-US"/>
        </w:rPr>
        <w:t>Si se produce irritación en la piel: Obtenga asesoramiento o atención médica. Si la irritación ocular persiste: Obtenga asesoramiento o atención médica.</w:t>
      </w:r>
    </w:p>
    <w:p>
      <w:pPr>
        <w:pStyle w:val="BodyText"/>
        <w:spacing w:line="223" w:lineRule="exact"/>
        <w:ind w:left="974"/>
        <w:rPr>
          <w:sz w:val="18"/>
          <w:szCs w:val="18"/>
          <w:lang w:val="es-US"/>
        </w:rPr>
      </w:pPr>
      <w:r>
        <w:rPr>
          <w:sz w:val="18"/>
          <w:szCs w:val="18"/>
          <w:lang w:val="es-US"/>
        </w:rPr>
        <w:t>Quítese la ropa contaminada y lávela antes de volver a usarla.</w:t>
      </w:r>
    </w:p>
    <w:p>
      <w:pPr>
        <w:tabs>
          <w:tab w:val="left" w:pos="3853"/>
        </w:tabs>
        <w:spacing w:before="209"/>
        <w:ind w:left="974"/>
        <w:rPr>
          <w:sz w:val="18"/>
          <w:szCs w:val="20"/>
          <w:lang w:val="es-US"/>
        </w:rPr>
      </w:pPr>
      <w:r>
        <w:rPr>
          <w:b/>
          <w:bCs/>
          <w:sz w:val="18"/>
          <w:szCs w:val="18"/>
          <w:lang w:val="es-US"/>
        </w:rPr>
        <w:t>CARCINOGENICIDAD:</w:t>
      </w:r>
      <w:r>
        <w:rPr>
          <w:b/>
          <w:bCs/>
          <w:sz w:val="18"/>
          <w:szCs w:val="18"/>
          <w:lang w:val="es-US"/>
        </w:rPr>
        <w:tab/>
      </w:r>
      <w:r>
        <w:rPr>
          <w:sz w:val="18"/>
          <w:szCs w:val="18"/>
          <w:lang w:val="es-US"/>
        </w:rPr>
        <w:t>No aplica.</w:t>
      </w:r>
    </w:p>
    <w:p>
      <w:pPr>
        <w:rPr>
          <w:sz w:val="18"/>
          <w:szCs w:val="20"/>
          <w:lang w:val="es-US"/>
        </w:rPr>
        <w:sectPr>
          <w:headerReference w:type="default" r:id="rId8"/>
          <w:footerReference w:type="default" r:id="rId9"/>
          <w:type w:val="continuous"/>
          <w:pgSz w:w="12240" w:h="15840"/>
          <w:pgMar w:top="1440" w:right="280" w:bottom="1200" w:left="500" w:header="135" w:footer="1002" w:gutter="0"/>
          <w:pgNumType w:start="1"/>
          <w:cols w:space="720"/>
        </w:sectPr>
      </w:pPr>
    </w:p>
    <w:p>
      <w:pPr>
        <w:pStyle w:val="Heading2"/>
        <w:numPr>
          <w:ilvl w:val="0"/>
          <w:numId w:val="8"/>
        </w:numPr>
        <w:tabs>
          <w:tab w:val="left" w:pos="477"/>
        </w:tabs>
        <w:spacing w:before="64" w:after="36"/>
        <w:ind w:left="477" w:hanging="223"/>
        <w:rPr>
          <w:sz w:val="18"/>
          <w:szCs w:val="18"/>
          <w:lang w:val="es-US"/>
        </w:rPr>
      </w:pPr>
      <w:r>
        <w:rPr>
          <w:sz w:val="18"/>
          <w:szCs w:val="18"/>
          <w:lang w:val="es-US"/>
        </w:rPr>
        <w:lastRenderedPageBreak/>
        <w:t>COMPOSICIÓN E INFORMACIÓN DE LOS INGREDIENTES</w:t>
      </w:r>
    </w:p>
    <w:tbl>
      <w:tblPr>
        <w:tblStyle w:val="TableNormal1"/>
        <w:tblW w:w="0" w:type="auto"/>
        <w:tblInd w:w="2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280"/>
        <w:gridCol w:w="2160"/>
        <w:gridCol w:w="2520"/>
      </w:tblGrid>
      <w:tr>
        <w:trPr>
          <w:trHeight w:val="540"/>
        </w:trPr>
        <w:tc>
          <w:tcPr>
            <w:tcW w:w="9960" w:type="dxa"/>
            <w:gridSpan w:val="3"/>
            <w:tcBorders>
              <w:top w:val="nil"/>
              <w:left w:val="nil"/>
            </w:tcBorders>
          </w:tcPr>
          <w:p>
            <w:pPr>
              <w:pStyle w:val="TableParagraph"/>
              <w:spacing w:before="60"/>
              <w:ind w:left="233"/>
              <w:rPr>
                <w:b/>
                <w:sz w:val="18"/>
                <w:szCs w:val="20"/>
                <w:lang w:val="es-US"/>
              </w:rPr>
            </w:pPr>
            <w:r>
              <w:rPr>
                <w:b/>
                <w:bCs/>
                <w:sz w:val="18"/>
                <w:szCs w:val="18"/>
                <w:lang w:val="es-US"/>
              </w:rPr>
              <w:t>Componentes peligrosos</w:t>
            </w:r>
          </w:p>
        </w:tc>
      </w:tr>
      <w:tr>
        <w:trPr>
          <w:trHeight w:val="239"/>
        </w:trPr>
        <w:tc>
          <w:tcPr>
            <w:tcW w:w="5280" w:type="dxa"/>
          </w:tcPr>
          <w:p>
            <w:pPr>
              <w:pStyle w:val="TableParagraph"/>
              <w:spacing w:before="11" w:line="209" w:lineRule="exact"/>
              <w:ind w:left="98"/>
              <w:rPr>
                <w:b/>
                <w:sz w:val="18"/>
                <w:szCs w:val="20"/>
                <w:lang w:val="es-US"/>
              </w:rPr>
            </w:pPr>
            <w:r>
              <w:rPr>
                <w:b/>
                <w:bCs/>
                <w:sz w:val="18"/>
                <w:szCs w:val="18"/>
                <w:lang w:val="es-US"/>
              </w:rPr>
              <w:t>NOMBRE QUÍMICO</w:t>
            </w:r>
          </w:p>
        </w:tc>
        <w:tc>
          <w:tcPr>
            <w:tcW w:w="2160" w:type="dxa"/>
          </w:tcPr>
          <w:p>
            <w:pPr>
              <w:pStyle w:val="TableParagraph"/>
              <w:spacing w:before="11" w:line="209" w:lineRule="exact"/>
              <w:ind w:left="8"/>
              <w:jc w:val="center"/>
              <w:rPr>
                <w:b/>
                <w:sz w:val="18"/>
                <w:szCs w:val="20"/>
                <w:lang w:val="es-US"/>
              </w:rPr>
            </w:pPr>
            <w:r>
              <w:rPr>
                <w:b/>
                <w:bCs/>
                <w:sz w:val="18"/>
                <w:szCs w:val="18"/>
                <w:lang w:val="es-US"/>
              </w:rPr>
              <w:t>N.º de CAS</w:t>
            </w:r>
          </w:p>
        </w:tc>
        <w:tc>
          <w:tcPr>
            <w:tcW w:w="2520" w:type="dxa"/>
          </w:tcPr>
          <w:p>
            <w:pPr>
              <w:pStyle w:val="TableParagraph"/>
              <w:spacing w:before="11" w:line="209" w:lineRule="exact"/>
              <w:ind w:left="8"/>
              <w:jc w:val="center"/>
              <w:rPr>
                <w:b/>
                <w:sz w:val="18"/>
                <w:szCs w:val="20"/>
                <w:lang w:val="es-US"/>
              </w:rPr>
            </w:pPr>
            <w:r>
              <w:rPr>
                <w:b/>
                <w:bCs/>
                <w:sz w:val="18"/>
                <w:szCs w:val="18"/>
                <w:lang w:val="es-US"/>
              </w:rPr>
              <w:t>% de peso</w:t>
            </w:r>
          </w:p>
        </w:tc>
      </w:tr>
      <w:tr>
        <w:trPr>
          <w:trHeight w:val="240"/>
        </w:trPr>
        <w:tc>
          <w:tcPr>
            <w:tcW w:w="5280" w:type="dxa"/>
          </w:tcPr>
          <w:p>
            <w:pPr>
              <w:pStyle w:val="TableParagraph"/>
              <w:spacing w:line="220" w:lineRule="exact"/>
              <w:ind w:left="98"/>
              <w:rPr>
                <w:sz w:val="18"/>
                <w:szCs w:val="20"/>
                <w:lang w:val="es-US"/>
              </w:rPr>
            </w:pPr>
            <w:r>
              <w:rPr>
                <w:sz w:val="18"/>
                <w:szCs w:val="18"/>
                <w:lang w:val="es-US"/>
              </w:rPr>
              <w:t>Sebacado de Bis(2,2,6,6,-tetrametil-4-piperidilo)</w:t>
            </w:r>
          </w:p>
        </w:tc>
        <w:tc>
          <w:tcPr>
            <w:tcW w:w="2160" w:type="dxa"/>
          </w:tcPr>
          <w:p>
            <w:pPr>
              <w:pStyle w:val="TableParagraph"/>
              <w:spacing w:line="220" w:lineRule="exact"/>
              <w:ind w:left="8"/>
              <w:jc w:val="center"/>
              <w:rPr>
                <w:sz w:val="18"/>
                <w:szCs w:val="20"/>
                <w:lang w:val="es-US"/>
              </w:rPr>
            </w:pPr>
            <w:r>
              <w:rPr>
                <w:sz w:val="18"/>
                <w:szCs w:val="18"/>
                <w:lang w:val="es-US"/>
              </w:rPr>
              <w:t>52829-07-9</w:t>
            </w:r>
          </w:p>
        </w:tc>
        <w:tc>
          <w:tcPr>
            <w:tcW w:w="2520" w:type="dxa"/>
          </w:tcPr>
          <w:p>
            <w:pPr>
              <w:pStyle w:val="TableParagraph"/>
              <w:spacing w:line="220" w:lineRule="exact"/>
              <w:ind w:left="8"/>
              <w:jc w:val="center"/>
              <w:rPr>
                <w:sz w:val="18"/>
                <w:szCs w:val="20"/>
                <w:lang w:val="es-US"/>
              </w:rPr>
            </w:pPr>
            <w:r>
              <w:rPr>
                <w:sz w:val="18"/>
                <w:szCs w:val="18"/>
                <w:lang w:val="es-US"/>
              </w:rPr>
              <w:t>0.1-1</w:t>
            </w:r>
          </w:p>
        </w:tc>
      </w:tr>
      <w:tr>
        <w:trPr>
          <w:trHeight w:val="259"/>
        </w:trPr>
        <w:tc>
          <w:tcPr>
            <w:tcW w:w="5280" w:type="dxa"/>
          </w:tcPr>
          <w:p>
            <w:pPr>
              <w:pStyle w:val="TableParagraph"/>
              <w:spacing w:before="6"/>
              <w:ind w:left="98"/>
              <w:rPr>
                <w:sz w:val="18"/>
                <w:szCs w:val="20"/>
                <w:lang w:val="es-US"/>
              </w:rPr>
            </w:pPr>
            <w:r>
              <w:rPr>
                <w:sz w:val="18"/>
                <w:szCs w:val="18"/>
                <w:lang w:val="es-US"/>
              </w:rPr>
              <w:t>Viniltrimetoxisilano</w:t>
            </w:r>
          </w:p>
        </w:tc>
        <w:tc>
          <w:tcPr>
            <w:tcW w:w="2160" w:type="dxa"/>
          </w:tcPr>
          <w:p>
            <w:pPr>
              <w:pStyle w:val="TableParagraph"/>
              <w:spacing w:before="6"/>
              <w:ind w:left="8"/>
              <w:jc w:val="center"/>
              <w:rPr>
                <w:sz w:val="18"/>
                <w:szCs w:val="20"/>
                <w:lang w:val="es-US"/>
              </w:rPr>
            </w:pPr>
            <w:r>
              <w:rPr>
                <w:sz w:val="18"/>
                <w:szCs w:val="18"/>
                <w:lang w:val="es-US"/>
              </w:rPr>
              <w:t>2768-02-7</w:t>
            </w:r>
          </w:p>
        </w:tc>
        <w:tc>
          <w:tcPr>
            <w:tcW w:w="2520" w:type="dxa"/>
          </w:tcPr>
          <w:p>
            <w:pPr>
              <w:pStyle w:val="TableParagraph"/>
              <w:spacing w:before="6"/>
              <w:ind w:left="8"/>
              <w:jc w:val="center"/>
              <w:rPr>
                <w:sz w:val="18"/>
                <w:szCs w:val="20"/>
                <w:lang w:val="es-US"/>
              </w:rPr>
            </w:pPr>
            <w:r>
              <w:rPr>
                <w:sz w:val="18"/>
                <w:szCs w:val="18"/>
                <w:lang w:val="es-US"/>
              </w:rPr>
              <w:t>0.1-1</w:t>
            </w:r>
          </w:p>
        </w:tc>
      </w:tr>
    </w:tbl>
    <w:p>
      <w:pPr>
        <w:spacing w:before="229"/>
        <w:ind w:left="119"/>
        <w:rPr>
          <w:sz w:val="16"/>
          <w:szCs w:val="20"/>
          <w:lang w:val="es-US"/>
        </w:rPr>
      </w:pPr>
      <w:r>
        <w:rPr>
          <w:sz w:val="16"/>
          <w:szCs w:val="16"/>
          <w:lang w:val="es-US"/>
        </w:rPr>
        <w:t>El resto de los ingredientes no son peligrosos o tienen una concentración inferior al 1 % (o al 0.1 % si se trata de carcinógenos, toxinas reproductivas o sensibilizadores respiratorios).</w:t>
      </w:r>
    </w:p>
    <w:p>
      <w:pPr>
        <w:pStyle w:val="Heading2"/>
        <w:numPr>
          <w:ilvl w:val="0"/>
          <w:numId w:val="8"/>
        </w:numPr>
        <w:tabs>
          <w:tab w:val="left" w:pos="477"/>
        </w:tabs>
        <w:spacing w:before="179"/>
        <w:ind w:left="477" w:hanging="223"/>
        <w:rPr>
          <w:sz w:val="18"/>
          <w:szCs w:val="18"/>
          <w:lang w:val="es-US"/>
        </w:rPr>
      </w:pPr>
      <w:r>
        <w:rPr>
          <w:sz w:val="18"/>
          <w:szCs w:val="18"/>
          <w:lang w:val="es-US"/>
        </w:rPr>
        <w:t>MEDIDAS DE PRIMEROS AUXILIOS</w:t>
      </w:r>
    </w:p>
    <w:p>
      <w:pPr>
        <w:pStyle w:val="Heading3"/>
        <w:numPr>
          <w:ilvl w:val="1"/>
          <w:numId w:val="7"/>
        </w:numPr>
        <w:tabs>
          <w:tab w:val="left" w:pos="911"/>
        </w:tabs>
        <w:spacing w:before="104" w:line="229" w:lineRule="exact"/>
        <w:ind w:left="911" w:hanging="432"/>
        <w:rPr>
          <w:b w:val="0"/>
          <w:sz w:val="18"/>
          <w:szCs w:val="18"/>
          <w:lang w:val="es-US"/>
        </w:rPr>
      </w:pPr>
      <w:r>
        <w:rPr>
          <w:sz w:val="18"/>
          <w:szCs w:val="18"/>
          <w:lang w:val="es-US"/>
        </w:rPr>
        <w:t>Descripción de las medidas de primeros auxilios Consejo general</w:t>
      </w:r>
    </w:p>
    <w:p>
      <w:pPr>
        <w:pStyle w:val="BodyText"/>
        <w:spacing w:line="229" w:lineRule="exact"/>
        <w:ind w:left="869"/>
        <w:rPr>
          <w:sz w:val="18"/>
          <w:szCs w:val="18"/>
          <w:lang w:val="es-US"/>
        </w:rPr>
      </w:pPr>
      <w:r>
        <w:rPr>
          <w:sz w:val="18"/>
          <w:szCs w:val="18"/>
          <w:lang w:val="es-US"/>
        </w:rPr>
        <w:t>Consulte a un médico. Muéstrele esta hoja de datos de seguridad al médico.</w:t>
      </w:r>
    </w:p>
    <w:p>
      <w:pPr>
        <w:pStyle w:val="Heading3"/>
        <w:ind w:left="119"/>
        <w:rPr>
          <w:sz w:val="18"/>
          <w:szCs w:val="18"/>
          <w:lang w:val="es-US"/>
        </w:rPr>
      </w:pPr>
      <w:r>
        <w:rPr>
          <w:sz w:val="18"/>
          <w:szCs w:val="18"/>
          <w:lang w:val="es-US"/>
        </w:rPr>
        <w:t>En caso de inhalación</w:t>
      </w:r>
    </w:p>
    <w:p>
      <w:pPr>
        <w:pStyle w:val="BodyText"/>
        <w:spacing w:before="3"/>
        <w:ind w:left="869"/>
        <w:rPr>
          <w:sz w:val="18"/>
          <w:szCs w:val="18"/>
          <w:lang w:val="es-US"/>
        </w:rPr>
      </w:pPr>
      <w:r>
        <w:rPr>
          <w:sz w:val="18"/>
          <w:szCs w:val="18"/>
          <w:lang w:val="es-US"/>
        </w:rPr>
        <w:t>Muévase donde respire aire fresco. Si tiene dificultad para respirar, inhale oxígeno. Obtenga atención médica inmediata si se presentan síntomas.</w:t>
      </w:r>
    </w:p>
    <w:p>
      <w:pPr>
        <w:pStyle w:val="Heading3"/>
        <w:ind w:left="119"/>
        <w:rPr>
          <w:sz w:val="18"/>
          <w:szCs w:val="18"/>
          <w:lang w:val="es-US"/>
        </w:rPr>
      </w:pPr>
      <w:r>
        <w:rPr>
          <w:sz w:val="18"/>
          <w:szCs w:val="18"/>
          <w:lang w:val="es-US"/>
        </w:rPr>
        <w:t>En caso de contacto con la piel</w:t>
      </w:r>
    </w:p>
    <w:p>
      <w:pPr>
        <w:pStyle w:val="BodyText"/>
        <w:spacing w:before="3"/>
        <w:ind w:left="869"/>
        <w:rPr>
          <w:sz w:val="18"/>
          <w:szCs w:val="18"/>
          <w:lang w:val="es-US"/>
        </w:rPr>
      </w:pPr>
      <w:r>
        <w:rPr>
          <w:sz w:val="18"/>
          <w:szCs w:val="18"/>
          <w:lang w:val="es-US"/>
        </w:rPr>
        <w:t>Quítese la ropa contaminada. Si es sobre la piel, lave de inmediato con jabón y abundante agua durante al menos 15 minutos. Lave la ropa contaminada antes de volver a usarla. Si se producen irritaciones o erupciones en la piel: Obtenga atención médica.</w:t>
      </w:r>
    </w:p>
    <w:p>
      <w:pPr>
        <w:pStyle w:val="Heading3"/>
        <w:ind w:left="119"/>
        <w:rPr>
          <w:sz w:val="18"/>
          <w:szCs w:val="18"/>
          <w:lang w:val="es-US"/>
        </w:rPr>
      </w:pPr>
      <w:r>
        <w:rPr>
          <w:sz w:val="18"/>
          <w:szCs w:val="18"/>
          <w:lang w:val="es-US"/>
        </w:rPr>
        <w:t>En caso de contacto con los ojos</w:t>
      </w:r>
    </w:p>
    <w:p>
      <w:pPr>
        <w:pStyle w:val="BodyText"/>
        <w:ind w:left="869" w:right="318"/>
        <w:rPr>
          <w:sz w:val="18"/>
          <w:szCs w:val="18"/>
          <w:lang w:val="es-US"/>
        </w:rPr>
      </w:pPr>
      <w:r>
        <w:rPr>
          <w:sz w:val="18"/>
          <w:szCs w:val="18"/>
          <w:lang w:val="es-US"/>
        </w:rPr>
        <w:t>Enjuagar cuidadosamente con agua durante varios minutos. Quítese las lentes de contacto, cuando estén presentes y pueda hacerse con facilidad. Siga enjuagando. Si la irritación ocular persiste: Obtenga asesoramiento o atención médica.</w:t>
      </w:r>
    </w:p>
    <w:p>
      <w:pPr>
        <w:pStyle w:val="Heading3"/>
        <w:ind w:left="119"/>
        <w:rPr>
          <w:sz w:val="18"/>
          <w:szCs w:val="18"/>
          <w:lang w:val="es-US"/>
        </w:rPr>
      </w:pPr>
      <w:r>
        <w:rPr>
          <w:sz w:val="18"/>
          <w:szCs w:val="18"/>
          <w:lang w:val="es-US"/>
        </w:rPr>
        <w:t>En caso de ingestión</w:t>
      </w:r>
    </w:p>
    <w:p>
      <w:pPr>
        <w:pStyle w:val="BodyText"/>
        <w:spacing w:before="3"/>
        <w:ind w:left="869" w:right="318"/>
        <w:rPr>
          <w:sz w:val="18"/>
          <w:szCs w:val="18"/>
          <w:lang w:val="es-US"/>
        </w:rPr>
      </w:pPr>
      <w:r>
        <w:rPr>
          <w:sz w:val="18"/>
          <w:szCs w:val="18"/>
          <w:lang w:val="es-US"/>
        </w:rPr>
        <w:t>NO induzca el vómito. Nunca administre nada por vía oral a una persona inconsciente. Enjuague la boca con agua. Consulte a un médico.</w:t>
      </w:r>
    </w:p>
    <w:p>
      <w:pPr>
        <w:pStyle w:val="Heading1"/>
        <w:numPr>
          <w:ilvl w:val="1"/>
          <w:numId w:val="7"/>
        </w:numPr>
        <w:tabs>
          <w:tab w:val="left" w:pos="911"/>
        </w:tabs>
        <w:ind w:left="911" w:hanging="432"/>
        <w:rPr>
          <w:sz w:val="20"/>
          <w:szCs w:val="20"/>
          <w:lang w:val="es-US"/>
        </w:rPr>
      </w:pPr>
      <w:r>
        <w:rPr>
          <w:sz w:val="20"/>
          <w:szCs w:val="20"/>
          <w:lang w:val="es-US"/>
        </w:rPr>
        <w:t>Síntomas y efectos más importantes, graves y tardíos</w:t>
      </w:r>
    </w:p>
    <w:p>
      <w:pPr>
        <w:pStyle w:val="BodyText"/>
        <w:spacing w:line="228" w:lineRule="exact"/>
        <w:ind w:left="869"/>
        <w:rPr>
          <w:sz w:val="18"/>
          <w:szCs w:val="18"/>
          <w:lang w:val="es-US"/>
        </w:rPr>
      </w:pPr>
      <w:r>
        <w:rPr>
          <w:sz w:val="18"/>
          <w:szCs w:val="18"/>
          <w:lang w:val="es-US"/>
        </w:rPr>
        <w:t>Los síntomas y efectos conocidos más importantes se describen en la etiqueta (consulte la sección 2.2) o en la sección 11.</w:t>
      </w:r>
    </w:p>
    <w:p>
      <w:pPr>
        <w:pStyle w:val="Heading1"/>
        <w:numPr>
          <w:ilvl w:val="1"/>
          <w:numId w:val="7"/>
        </w:numPr>
        <w:tabs>
          <w:tab w:val="left" w:pos="911"/>
        </w:tabs>
        <w:ind w:left="911" w:hanging="432"/>
        <w:rPr>
          <w:sz w:val="20"/>
          <w:szCs w:val="20"/>
          <w:lang w:val="es-US"/>
        </w:rPr>
      </w:pPr>
      <w:r>
        <w:rPr>
          <w:sz w:val="20"/>
          <w:szCs w:val="20"/>
          <w:lang w:val="es-US"/>
        </w:rPr>
        <w:t>Se debe obtener atención médica inmediata y el tratamiento especial necesario</w:t>
      </w:r>
    </w:p>
    <w:p>
      <w:pPr>
        <w:pStyle w:val="BodyText"/>
        <w:spacing w:line="228" w:lineRule="exact"/>
        <w:ind w:left="869"/>
        <w:rPr>
          <w:sz w:val="18"/>
          <w:szCs w:val="18"/>
          <w:lang w:val="es-US"/>
        </w:rPr>
      </w:pPr>
      <w:r>
        <w:rPr>
          <w:sz w:val="18"/>
          <w:szCs w:val="18"/>
          <w:lang w:val="es-US"/>
        </w:rPr>
        <w:t>No hay datos disponibles.</w:t>
      </w:r>
    </w:p>
    <w:p>
      <w:pPr>
        <w:pStyle w:val="Heading2"/>
        <w:numPr>
          <w:ilvl w:val="0"/>
          <w:numId w:val="8"/>
        </w:numPr>
        <w:tabs>
          <w:tab w:val="left" w:pos="477"/>
        </w:tabs>
        <w:spacing w:before="205"/>
        <w:ind w:left="477" w:hanging="223"/>
        <w:rPr>
          <w:sz w:val="18"/>
          <w:szCs w:val="18"/>
          <w:lang w:val="es-US"/>
        </w:rPr>
      </w:pPr>
      <w:r>
        <w:rPr>
          <w:noProof/>
          <w:sz w:val="18"/>
          <w:szCs w:val="18"/>
          <w:lang w:val="es-US"/>
        </w:rPr>
        <mc:AlternateContent>
          <mc:Choice Requires="wps">
            <w:drawing>
              <wp:anchor distT="0" distB="0" distL="0" distR="0" simplePos="0" relativeHeight="251658240" behindDoc="0" locked="0" layoutInCell="1" allowOverlap="1">
                <wp:simplePos x="0" y="0"/>
                <wp:positionH relativeFrom="page">
                  <wp:posOffset>478790</wp:posOffset>
                </wp:positionH>
                <wp:positionV relativeFrom="paragraph">
                  <wp:posOffset>112164</wp:posOffset>
                </wp:positionV>
                <wp:extent cx="7134225" cy="1270"/>
                <wp:effectExtent l="0" t="0" r="0" b="0"/>
                <wp:wrapNone/>
                <wp:docPr id="7" name="Graphic 7"/>
                <wp:cNvGraphicFramePr/>
                <a:graphic xmlns:a="http://schemas.openxmlformats.org/drawingml/2006/main">
                  <a:graphicData uri="http://schemas.microsoft.com/office/word/2010/wordprocessingShape">
                    <wps:wsp>
                      <wps:cNvSpPr/>
                      <wps:spPr>
                        <a:xfrm>
                          <a:off x="0" y="0"/>
                          <a:ext cx="7134225" cy="1270"/>
                        </a:xfrm>
                        <a:custGeom>
                          <a:avLst/>
                          <a:gdLst/>
                          <a:ahLst/>
                          <a:cxnLst/>
                          <a:rect l="l" t="t" r="r" b="b"/>
                          <a:pathLst>
                            <a:path w="7134225">
                              <a:moveTo>
                                <a:pt x="0" y="0"/>
                              </a:moveTo>
                              <a:lnTo>
                                <a:pt x="7134225" y="0"/>
                              </a:lnTo>
                            </a:path>
                          </a:pathLst>
                        </a:custGeom>
                        <a:ln w="9525">
                          <a:solidFill>
                            <a:srgbClr val="000000"/>
                          </a:solidFill>
                          <a:prstDash val="solid"/>
                        </a:ln>
                      </wps:spPr>
                      <wps:bodyPr wrap="square" lIns="0" tIns="0" rIns="0" bIns="0" rtlCol="0">
                        <a:prstTxWarp prst="textNoShape">
                          <a:avLst/>
                        </a:prstTxWarp>
                      </wps:bodyPr>
                    </wps:wsp>
                  </a:graphicData>
                </a:graphic>
              </wp:anchor>
            </w:drawing>
          </mc:Choice>
          <mc:Fallback>
            <w:pict>
              <v:shape id="Graphic 7" o:spid="_x0000_s1026" style="position:absolute;margin-left:37.7pt;margin-top:8.85pt;width:561.75pt;height:.1pt;z-index:251658240;visibility:visible;mso-wrap-style:square;mso-wrap-distance-left:0;mso-wrap-distance-top:0;mso-wrap-distance-right:0;mso-wrap-distance-bottom:0;mso-position-horizontal:absolute;mso-position-horizontal-relative:page;mso-position-vertical:absolute;mso-position-vertical-relative:text;v-text-anchor:top" coordsize="713422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" path="m,l7134225,e" filled="f">
                <v:path arrowok="t"/>
                <w10:wrap anchorx="page"/>
              </v:shape>
            </w:pict>
          </mc:Fallback>
        </mc:AlternateContent>
      </w:r>
      <w:r>
        <w:rPr>
          <w:sz w:val="18"/>
          <w:szCs w:val="18"/>
          <w:lang w:val="es-US"/>
        </w:rPr>
        <w:t>MEDIDAS CONTRA INCENDIOS</w:t>
      </w:r>
    </w:p>
    <w:p>
      <w:pPr>
        <w:pStyle w:val="Heading3"/>
        <w:numPr>
          <w:ilvl w:val="1"/>
          <w:numId w:val="6"/>
        </w:numPr>
        <w:tabs>
          <w:tab w:val="left" w:pos="869"/>
          <w:tab w:val="left" w:pos="911"/>
        </w:tabs>
        <w:spacing w:before="0"/>
        <w:ind w:right="7822" w:hanging="390"/>
        <w:rPr>
          <w:sz w:val="18"/>
          <w:szCs w:val="18"/>
          <w:lang w:val="es-US"/>
        </w:rPr>
      </w:pPr>
      <w:r>
        <w:rPr>
          <w:sz w:val="18"/>
          <w:szCs w:val="18"/>
          <w:lang w:val="es-US"/>
        </w:rPr>
        <w:t>Medios de extinción Medios de extinción adecuados</w:t>
      </w:r>
    </w:p>
    <w:p>
      <w:pPr>
        <w:pStyle w:val="BodyText"/>
        <w:spacing w:before="3"/>
        <w:ind w:left="1199"/>
        <w:rPr>
          <w:sz w:val="18"/>
          <w:szCs w:val="18"/>
          <w:lang w:val="es-US"/>
        </w:rPr>
      </w:pPr>
      <w:r>
        <w:rPr>
          <w:sz w:val="18"/>
          <w:szCs w:val="18"/>
          <w:lang w:val="es-US"/>
        </w:rPr>
        <w:t>Use agua pulverizada, espuma resistente al alcohol, producto químico seco o dióxido de carbono.</w:t>
      </w:r>
    </w:p>
    <w:p>
      <w:pPr>
        <w:pStyle w:val="Heading3"/>
        <w:numPr>
          <w:ilvl w:val="1"/>
          <w:numId w:val="6"/>
        </w:numPr>
        <w:tabs>
          <w:tab w:val="left" w:pos="911"/>
        </w:tabs>
        <w:spacing w:before="115"/>
        <w:ind w:left="911" w:hanging="432"/>
        <w:rPr>
          <w:sz w:val="18"/>
          <w:szCs w:val="18"/>
          <w:lang w:val="es-US"/>
        </w:rPr>
      </w:pPr>
      <w:r>
        <w:rPr>
          <w:sz w:val="18"/>
          <w:szCs w:val="18"/>
          <w:lang w:val="es-US"/>
        </w:rPr>
        <w:t>Riesgos especiales derivados de la sustancia o mezcla</w:t>
      </w:r>
    </w:p>
    <w:p>
      <w:pPr>
        <w:pStyle w:val="BodyText"/>
        <w:spacing w:before="3"/>
        <w:ind w:left="1199"/>
        <w:rPr>
          <w:sz w:val="18"/>
          <w:szCs w:val="18"/>
          <w:lang w:val="es-US"/>
        </w:rPr>
      </w:pPr>
      <w:r>
        <w:rPr>
          <w:sz w:val="18"/>
          <w:szCs w:val="18"/>
          <w:lang w:val="es-US"/>
        </w:rPr>
        <w:t>La descomposición térmica puede liberar gases, vapores y humo irritantes, corrosivos o tóxicos.</w:t>
      </w:r>
    </w:p>
    <w:p>
      <w:pPr>
        <w:pStyle w:val="Heading3"/>
        <w:numPr>
          <w:ilvl w:val="1"/>
          <w:numId w:val="6"/>
        </w:numPr>
        <w:tabs>
          <w:tab w:val="left" w:pos="911"/>
        </w:tabs>
        <w:ind w:left="911" w:hanging="432"/>
        <w:rPr>
          <w:sz w:val="18"/>
          <w:szCs w:val="18"/>
          <w:lang w:val="es-US"/>
        </w:rPr>
      </w:pPr>
      <w:r>
        <w:rPr>
          <w:sz w:val="18"/>
          <w:szCs w:val="18"/>
          <w:lang w:val="es-US"/>
        </w:rPr>
        <w:t>Consejos para bomberos</w:t>
      </w:r>
    </w:p>
    <w:p>
      <w:pPr>
        <w:pStyle w:val="BodyText"/>
        <w:spacing w:before="24" w:line="235" w:lineRule="auto"/>
        <w:ind w:left="1289" w:right="75"/>
        <w:rPr>
          <w:sz w:val="18"/>
          <w:szCs w:val="18"/>
          <w:lang w:val="es-US"/>
        </w:rPr>
      </w:pPr>
      <w:r>
        <w:rPr>
          <w:sz w:val="18"/>
          <w:szCs w:val="18"/>
          <w:lang w:val="es-US"/>
        </w:rPr>
        <w:t>Los bomberos en incendios incipientes deben usar protección para los ojos. Los bomberos estructurales deben usar equipo de respiración autónomo y equipo de protección completo. Aísle los materiales que aún no estén involucrados en el incendio y proteja al personal. Mueva los contenedores del área del incendio si esto se puede hacer sin riesgo; de lo contrario, enfríe con un rociador de agua aplicado cuidadosamente. Si es posible, evite que el agua de escorrentía ingrese a los desagües pluviales, cuerpos de agua u otras áreas ambientalmente sensibles.</w:t>
      </w:r>
    </w:p>
    <w:p>
      <w:pPr>
        <w:pStyle w:val="Heading3"/>
        <w:numPr>
          <w:ilvl w:val="1"/>
          <w:numId w:val="6"/>
        </w:numPr>
        <w:tabs>
          <w:tab w:val="left" w:pos="911"/>
        </w:tabs>
        <w:spacing w:before="121"/>
        <w:ind w:left="911" w:hanging="432"/>
        <w:rPr>
          <w:sz w:val="18"/>
          <w:szCs w:val="18"/>
          <w:lang w:val="es-US"/>
        </w:rPr>
      </w:pPr>
      <w:r>
        <w:rPr>
          <w:sz w:val="18"/>
          <w:szCs w:val="18"/>
          <w:lang w:val="es-US"/>
        </w:rPr>
        <w:t>Otra información</w:t>
      </w:r>
    </w:p>
    <w:p>
      <w:pPr>
        <w:pStyle w:val="BodyText"/>
        <w:ind w:left="1199"/>
        <w:rPr>
          <w:sz w:val="18"/>
          <w:szCs w:val="18"/>
          <w:lang w:val="es-US"/>
        </w:rPr>
      </w:pPr>
      <w:r>
        <w:rPr>
          <w:sz w:val="18"/>
          <w:szCs w:val="18"/>
          <w:lang w:val="es-US"/>
        </w:rPr>
        <w:t>Use agua pulverizada para enfriar los recipientes sin abrir.</w:t>
      </w:r>
    </w:p>
    <w:p>
      <w:pPr>
        <w:pStyle w:val="Heading2"/>
        <w:numPr>
          <w:ilvl w:val="0"/>
          <w:numId w:val="8"/>
        </w:numPr>
        <w:tabs>
          <w:tab w:val="left" w:pos="477"/>
        </w:tabs>
        <w:spacing w:before="179"/>
        <w:ind w:left="477" w:hanging="223"/>
        <w:rPr>
          <w:sz w:val="18"/>
          <w:szCs w:val="18"/>
          <w:lang w:val="es-US"/>
        </w:rPr>
      </w:pPr>
      <w:r>
        <w:rPr>
          <w:sz w:val="18"/>
          <w:szCs w:val="18"/>
          <w:lang w:val="es-US"/>
        </w:rPr>
        <w:t>MEDIDAS EN CASO DE LIBERACIÓN ACCIDENTAL</w:t>
      </w:r>
    </w:p>
    <w:p>
      <w:pPr>
        <w:pStyle w:val="Heading3"/>
        <w:numPr>
          <w:ilvl w:val="1"/>
          <w:numId w:val="5"/>
        </w:numPr>
        <w:tabs>
          <w:tab w:val="left" w:pos="911"/>
        </w:tabs>
        <w:spacing w:before="110"/>
        <w:ind w:left="911" w:hanging="432"/>
        <w:rPr>
          <w:sz w:val="18"/>
          <w:szCs w:val="18"/>
          <w:lang w:val="es-US"/>
        </w:rPr>
      </w:pPr>
      <w:r>
        <w:rPr>
          <w:sz w:val="18"/>
          <w:szCs w:val="18"/>
          <w:lang w:val="es-US"/>
        </w:rPr>
        <w:t>Precauciones personales, equipo de protección y procedimientos de emergencia</w:t>
      </w:r>
    </w:p>
    <w:p>
      <w:pPr>
        <w:pStyle w:val="BodyText"/>
        <w:spacing w:before="10" w:line="230" w:lineRule="auto"/>
        <w:ind w:left="869" w:right="1376"/>
        <w:rPr>
          <w:sz w:val="18"/>
          <w:szCs w:val="18"/>
          <w:lang w:val="es-US"/>
        </w:rPr>
      </w:pPr>
      <w:r>
        <w:rPr>
          <w:sz w:val="18"/>
          <w:szCs w:val="18"/>
          <w:lang w:val="es-US"/>
        </w:rPr>
        <w:t>Use equipo de protección personal. Evite respirar los vapores, la niebla o el gas. Garantice una ventilación adecuada. Para conocer la protección personal, consulte la sección 8.</w:t>
      </w:r>
    </w:p>
    <w:p>
      <w:pPr>
        <w:pStyle w:val="Heading3"/>
        <w:numPr>
          <w:ilvl w:val="1"/>
          <w:numId w:val="5"/>
        </w:numPr>
        <w:tabs>
          <w:tab w:val="left" w:pos="911"/>
        </w:tabs>
        <w:ind w:left="911" w:hanging="432"/>
        <w:rPr>
          <w:sz w:val="18"/>
          <w:szCs w:val="18"/>
          <w:lang w:val="es-US"/>
        </w:rPr>
      </w:pPr>
      <w:r>
        <w:rPr>
          <w:sz w:val="18"/>
          <w:szCs w:val="18"/>
          <w:lang w:val="es-US"/>
        </w:rPr>
        <w:t>Precauciones ambientales</w:t>
      </w:r>
    </w:p>
    <w:p>
      <w:pPr>
        <w:pStyle w:val="BodyText"/>
        <w:spacing w:before="100"/>
        <w:ind w:left="869"/>
        <w:rPr>
          <w:sz w:val="18"/>
          <w:szCs w:val="18"/>
          <w:lang w:val="es-US"/>
        </w:rPr>
      </w:pPr>
      <w:r>
        <w:rPr>
          <w:sz w:val="18"/>
          <w:szCs w:val="18"/>
          <w:lang w:val="es-US"/>
        </w:rPr>
        <w:t>Evite fugas o derrames, siempre que sea seguro hacerlo. No permita que el producto ingrese a los desagües.</w:t>
      </w:r>
    </w:p>
    <w:p>
      <w:pPr>
        <w:pStyle w:val="Heading3"/>
        <w:numPr>
          <w:ilvl w:val="1"/>
          <w:numId w:val="5"/>
        </w:numPr>
        <w:tabs>
          <w:tab w:val="left" w:pos="911"/>
        </w:tabs>
        <w:ind w:left="911" w:hanging="432"/>
        <w:rPr>
          <w:sz w:val="18"/>
          <w:szCs w:val="18"/>
          <w:lang w:val="es-US"/>
        </w:rPr>
      </w:pPr>
      <w:r>
        <w:rPr>
          <w:sz w:val="18"/>
          <w:szCs w:val="18"/>
          <w:lang w:val="es-US"/>
        </w:rPr>
        <w:t>Métodos y materiales para contención y limpieza</w:t>
      </w:r>
    </w:p>
    <w:p>
      <w:pPr>
        <w:pStyle w:val="BodyText"/>
        <w:spacing w:before="3"/>
        <w:ind w:left="869" w:right="725"/>
        <w:rPr>
          <w:sz w:val="18"/>
          <w:szCs w:val="18"/>
          <w:lang w:val="es-US"/>
        </w:rPr>
      </w:pPr>
      <w:r>
        <w:rPr>
          <w:sz w:val="18"/>
          <w:szCs w:val="18"/>
          <w:lang w:val="es-US"/>
        </w:rPr>
        <w:lastRenderedPageBreak/>
        <w:t>Contenga el derrame si es seguro hacerlo. Evite el ingreso a desagües, alcantarillas y otras vías fluviales. Remoje con un material absorbente no combustible y colóquelo en un recipiente adecuado para su eliminación. Elimine según los procedimientos locales, estatales y federales aplicables (consulte la sección 13).</w:t>
      </w:r>
    </w:p>
    <w:p>
      <w:pPr>
        <w:pStyle w:val="Heading3"/>
        <w:numPr>
          <w:ilvl w:val="1"/>
          <w:numId w:val="5"/>
        </w:numPr>
        <w:tabs>
          <w:tab w:val="left" w:pos="911"/>
        </w:tabs>
        <w:spacing w:before="115"/>
        <w:ind w:left="911" w:hanging="432"/>
        <w:rPr>
          <w:sz w:val="18"/>
          <w:szCs w:val="18"/>
          <w:lang w:val="es-US"/>
        </w:rPr>
      </w:pPr>
      <w:r>
        <w:rPr>
          <w:sz w:val="18"/>
          <w:szCs w:val="18"/>
          <w:lang w:val="es-US"/>
        </w:rPr>
        <w:t>Referencia a otras secciones</w:t>
      </w:r>
    </w:p>
    <w:p>
      <w:pPr>
        <w:pStyle w:val="BodyText"/>
        <w:spacing w:before="3"/>
        <w:ind w:left="869"/>
        <w:rPr>
          <w:sz w:val="18"/>
          <w:szCs w:val="18"/>
          <w:lang w:val="es-US"/>
        </w:rPr>
      </w:pPr>
      <w:r>
        <w:rPr>
          <w:sz w:val="18"/>
          <w:szCs w:val="18"/>
          <w:lang w:val="es-US"/>
        </w:rPr>
        <w:t>Para la eliminación, consulte la sección 13.</w:t>
      </w:r>
    </w:p>
    <w:p>
      <w:pPr>
        <w:pStyle w:val="Heading2"/>
        <w:numPr>
          <w:ilvl w:val="0"/>
          <w:numId w:val="8"/>
        </w:numPr>
        <w:tabs>
          <w:tab w:val="left" w:pos="477"/>
        </w:tabs>
        <w:spacing w:before="179"/>
        <w:ind w:left="477" w:hanging="223"/>
        <w:rPr>
          <w:sz w:val="18"/>
          <w:szCs w:val="18"/>
          <w:lang w:val="es-US"/>
        </w:rPr>
      </w:pPr>
      <w:r>
        <w:rPr>
          <w:sz w:val="18"/>
          <w:szCs w:val="18"/>
          <w:lang w:val="es-US"/>
        </w:rPr>
        <w:t>MANEJO Y ALMACENAMIENTO</w:t>
      </w:r>
    </w:p>
    <w:p>
      <w:pPr>
        <w:pStyle w:val="Heading3"/>
        <w:numPr>
          <w:ilvl w:val="1"/>
          <w:numId w:val="4"/>
        </w:numPr>
        <w:tabs>
          <w:tab w:val="left" w:pos="911"/>
        </w:tabs>
        <w:spacing w:before="112"/>
        <w:ind w:left="911" w:hanging="432"/>
        <w:rPr>
          <w:sz w:val="18"/>
          <w:szCs w:val="18"/>
          <w:lang w:val="es-US"/>
        </w:rPr>
      </w:pPr>
      <w:r>
        <w:rPr>
          <w:sz w:val="18"/>
          <w:szCs w:val="18"/>
          <w:lang w:val="es-US"/>
        </w:rPr>
        <w:t>Precauciones para un manejo seguro</w:t>
      </w:r>
    </w:p>
    <w:p>
      <w:pPr>
        <w:pStyle w:val="BodyText"/>
        <w:spacing w:before="3"/>
        <w:ind w:left="869" w:right="318"/>
        <w:rPr>
          <w:sz w:val="18"/>
          <w:szCs w:val="18"/>
          <w:lang w:val="es-US"/>
        </w:rPr>
      </w:pPr>
      <w:r>
        <w:rPr>
          <w:sz w:val="18"/>
          <w:szCs w:val="18"/>
          <w:lang w:val="es-US"/>
        </w:rPr>
        <w:t>Use con ventilación adecuada. Mantenga alejado del calor, las chispas y las llamas al descubierto. -No fumar. Lávese bien las manos después del manejo. No coma, beba ni fume mientras usa este producto. Aplique buenas prácticas higiénicas.</w:t>
      </w:r>
    </w:p>
    <w:p>
      <w:pPr>
        <w:pStyle w:val="Heading3"/>
        <w:numPr>
          <w:ilvl w:val="1"/>
          <w:numId w:val="4"/>
        </w:numPr>
        <w:tabs>
          <w:tab w:val="left" w:pos="911"/>
        </w:tabs>
        <w:ind w:left="911" w:hanging="432"/>
        <w:rPr>
          <w:sz w:val="18"/>
          <w:szCs w:val="18"/>
          <w:lang w:val="es-US"/>
        </w:rPr>
      </w:pPr>
      <w:r>
        <w:rPr>
          <w:sz w:val="18"/>
          <w:szCs w:val="18"/>
          <w:lang w:val="es-US"/>
        </w:rPr>
        <w:t>Condiciones para un almacenamiento seguro, lo que incluye cualquier incompatibilidad</w:t>
      </w:r>
    </w:p>
    <w:p>
      <w:pPr>
        <w:pStyle w:val="BodyText"/>
        <w:spacing w:before="3"/>
        <w:ind w:left="869" w:right="2120"/>
        <w:rPr>
          <w:sz w:val="18"/>
          <w:szCs w:val="18"/>
          <w:lang w:val="es-US"/>
        </w:rPr>
      </w:pPr>
      <w:r>
        <w:rPr>
          <w:sz w:val="18"/>
          <w:szCs w:val="18"/>
          <w:lang w:val="es-US"/>
        </w:rPr>
        <w:t>Manténgase alejado de llamas abiertas y de altas temperaturas. Mantenga el recipiente bien cerrado en un lugar seco y bien ventilado.</w:t>
      </w:r>
    </w:p>
    <w:p>
      <w:pPr>
        <w:pStyle w:val="Heading2"/>
        <w:numPr>
          <w:ilvl w:val="0"/>
          <w:numId w:val="8"/>
        </w:numPr>
        <w:tabs>
          <w:tab w:val="left" w:pos="477"/>
        </w:tabs>
        <w:spacing w:before="198"/>
        <w:ind w:left="477" w:hanging="223"/>
        <w:rPr>
          <w:sz w:val="18"/>
          <w:szCs w:val="18"/>
          <w:lang w:val="es-US"/>
        </w:rPr>
      </w:pPr>
      <w:r>
        <w:rPr>
          <w:sz w:val="18"/>
          <w:szCs w:val="18"/>
          <w:lang w:val="es-US"/>
        </w:rPr>
        <w:t>CONTROLES DE EXPOSICIÓN Y PROTECCIÓN PERSONAL</w:t>
      </w:r>
    </w:p>
    <w:p>
      <w:pPr>
        <w:pStyle w:val="Heading3"/>
        <w:numPr>
          <w:ilvl w:val="1"/>
          <w:numId w:val="3"/>
        </w:numPr>
        <w:tabs>
          <w:tab w:val="left" w:pos="911"/>
        </w:tabs>
        <w:spacing w:before="112"/>
        <w:ind w:left="911" w:hanging="432"/>
        <w:rPr>
          <w:sz w:val="18"/>
          <w:szCs w:val="18"/>
          <w:lang w:val="es-US"/>
        </w:rPr>
      </w:pPr>
      <w:r>
        <w:rPr>
          <w:sz w:val="18"/>
          <w:szCs w:val="18"/>
          <w:lang w:val="es-US"/>
        </w:rPr>
        <w:t>Parámetros de control</w:t>
      </w:r>
    </w:p>
    <w:p>
      <w:pPr>
        <w:spacing w:before="120"/>
        <w:ind w:left="869"/>
        <w:rPr>
          <w:b/>
          <w:sz w:val="18"/>
          <w:szCs w:val="20"/>
          <w:lang w:val="es-US"/>
        </w:rPr>
      </w:pPr>
      <w:r>
        <w:rPr>
          <w:b/>
          <w:bCs/>
          <w:sz w:val="18"/>
          <w:szCs w:val="18"/>
          <w:lang w:val="es-US"/>
        </w:rPr>
        <w:t>Componentes con parámetros de control en el lugar de trabajo</w:t>
      </w:r>
    </w:p>
    <w:p>
      <w:pPr>
        <w:pStyle w:val="BodyText"/>
        <w:spacing w:before="4"/>
        <w:rPr>
          <w:b/>
          <w:sz w:val="18"/>
          <w:szCs w:val="18"/>
          <w:lang w:val="es-US"/>
        </w:rPr>
      </w:pPr>
    </w:p>
    <w:p>
      <w:pPr>
        <w:pStyle w:val="BodyText"/>
        <w:ind w:left="839" w:right="2773"/>
        <w:rPr>
          <w:sz w:val="18"/>
          <w:szCs w:val="18"/>
          <w:lang w:val="es-US"/>
        </w:rPr>
      </w:pPr>
      <w:r>
        <w:rPr>
          <w:sz w:val="18"/>
          <w:szCs w:val="18"/>
          <w:lang w:val="es-US"/>
        </w:rPr>
        <w:t>Sebacado de Bis(2,2,6,6,-tetrametil-4-piperidilo) (52829-07-9): Límites de Exposición Ocupacional (OEL) no establecido silano ethenyltrimetoxi - (2768-02-7): OEL no establecidos</w:t>
      </w:r>
    </w:p>
    <w:p>
      <w:pPr>
        <w:pStyle w:val="Heading3"/>
        <w:numPr>
          <w:ilvl w:val="1"/>
          <w:numId w:val="3"/>
        </w:numPr>
        <w:tabs>
          <w:tab w:val="left" w:pos="911"/>
        </w:tabs>
        <w:spacing w:before="123"/>
        <w:ind w:left="911" w:hanging="432"/>
        <w:rPr>
          <w:sz w:val="18"/>
          <w:szCs w:val="18"/>
          <w:lang w:val="es-US"/>
        </w:rPr>
      </w:pPr>
      <w:r>
        <w:rPr>
          <w:sz w:val="18"/>
          <w:szCs w:val="18"/>
          <w:lang w:val="es-US"/>
        </w:rPr>
        <w:t>Controles de exposición</w:t>
      </w:r>
    </w:p>
    <w:p>
      <w:pPr>
        <w:spacing w:before="120"/>
        <w:ind w:left="824"/>
        <w:rPr>
          <w:b/>
          <w:sz w:val="18"/>
          <w:szCs w:val="20"/>
          <w:lang w:val="es-US"/>
        </w:rPr>
      </w:pPr>
      <w:r>
        <w:rPr>
          <w:b/>
          <w:bCs/>
          <w:sz w:val="18"/>
          <w:szCs w:val="18"/>
          <w:lang w:val="es-US"/>
        </w:rPr>
        <w:t>Controles de ingeniería adecuados</w:t>
      </w:r>
    </w:p>
    <w:p>
      <w:pPr>
        <w:pStyle w:val="BodyText"/>
        <w:spacing w:before="3"/>
        <w:ind w:left="824"/>
        <w:rPr>
          <w:sz w:val="18"/>
          <w:szCs w:val="18"/>
          <w:lang w:val="es-US"/>
        </w:rPr>
      </w:pPr>
      <w:r>
        <w:rPr>
          <w:sz w:val="18"/>
          <w:szCs w:val="18"/>
          <w:lang w:val="es-US"/>
        </w:rPr>
        <w:t>Maneje el producto de acuerdo con las prácticas recomendadas de higiene y seguridad industrial. Lávese las manos antes de los descansos y al final de la jornada laboral.</w:t>
      </w:r>
    </w:p>
    <w:p>
      <w:pPr>
        <w:pStyle w:val="BodyText"/>
        <w:spacing w:before="28"/>
        <w:rPr>
          <w:sz w:val="18"/>
          <w:szCs w:val="18"/>
          <w:lang w:val="es-US"/>
        </w:rPr>
      </w:pPr>
    </w:p>
    <w:p>
      <w:pPr>
        <w:pStyle w:val="Heading3"/>
        <w:spacing w:before="0"/>
        <w:ind w:left="1469" w:right="6934" w:hanging="630"/>
        <w:rPr>
          <w:sz w:val="18"/>
          <w:szCs w:val="18"/>
          <w:lang w:val="es-US"/>
        </w:rPr>
      </w:pPr>
      <w:r>
        <w:rPr>
          <w:sz w:val="18"/>
          <w:szCs w:val="18"/>
          <w:lang w:val="es-US"/>
        </w:rPr>
        <w:t>Equipo de protección personal Protección ocular/facial</w:t>
      </w:r>
    </w:p>
    <w:p>
      <w:pPr>
        <w:pStyle w:val="BodyText"/>
        <w:spacing w:before="50"/>
        <w:ind w:left="1424"/>
        <w:rPr>
          <w:sz w:val="18"/>
          <w:szCs w:val="18"/>
          <w:lang w:val="es-US"/>
        </w:rPr>
      </w:pPr>
      <w:r>
        <w:rPr>
          <w:sz w:val="18"/>
          <w:szCs w:val="18"/>
          <w:lang w:val="es-US"/>
        </w:rPr>
        <w:t>Anteojos de seguridad o gafas químicas, según corresponda, para evitar el contacto con los ojos.</w:t>
      </w:r>
    </w:p>
    <w:p>
      <w:pPr>
        <w:pStyle w:val="Heading3"/>
        <w:spacing w:before="50"/>
        <w:ind w:left="1424"/>
        <w:rPr>
          <w:sz w:val="18"/>
          <w:szCs w:val="18"/>
          <w:lang w:val="es-US"/>
        </w:rPr>
      </w:pPr>
      <w:r>
        <w:rPr>
          <w:sz w:val="18"/>
          <w:szCs w:val="18"/>
          <w:lang w:val="es-US"/>
        </w:rPr>
        <w:t>Protección para la piel</w:t>
      </w:r>
    </w:p>
    <w:p>
      <w:pPr>
        <w:pStyle w:val="BodyText"/>
        <w:spacing w:before="3"/>
        <w:ind w:left="1424" w:right="494"/>
        <w:rPr>
          <w:sz w:val="18"/>
          <w:szCs w:val="18"/>
          <w:lang w:val="es-US"/>
        </w:rPr>
      </w:pPr>
      <w:r>
        <w:rPr>
          <w:sz w:val="18"/>
          <w:szCs w:val="18"/>
          <w:lang w:val="es-US"/>
        </w:rPr>
        <w:t>Use guantes resistentes a los productos químicos de este material cuando haya posibilidades de un contacto prolongado o reiterado. Tenga en cuenta que la sustancia química puede penetrar en los guantes. Se recomienda realizar cambios frecuentes. Los guantes deben estar clasificados en virtud de la norma EN 374 o la norma F1296 de la Sociedad Estadounidense de Pruebas y Materiales (American Society for Testing and Materials, ASTM). Los materiales sugeridos para los guantes son: Neopreno, caucho de nitrilo/butadieno, polietileno, alcohol etilvinílico laminado, PVC o vinilo. El proveedor de guantes puede recomendar guantes adecuados para esta aplicación específica.</w:t>
      </w:r>
    </w:p>
    <w:p>
      <w:pPr>
        <w:pStyle w:val="Heading3"/>
        <w:spacing w:before="114"/>
        <w:ind w:left="1424"/>
        <w:rPr>
          <w:sz w:val="18"/>
          <w:szCs w:val="18"/>
          <w:lang w:val="es-US"/>
        </w:rPr>
      </w:pPr>
      <w:r>
        <w:rPr>
          <w:sz w:val="18"/>
          <w:szCs w:val="18"/>
          <w:lang w:val="es-US"/>
        </w:rPr>
        <w:t>Protección corporal</w:t>
      </w:r>
    </w:p>
    <w:p>
      <w:pPr>
        <w:pStyle w:val="BodyText"/>
        <w:spacing w:before="114"/>
        <w:ind w:left="1424"/>
        <w:rPr>
          <w:sz w:val="18"/>
          <w:szCs w:val="18"/>
          <w:lang w:val="es-US"/>
        </w:rPr>
      </w:pPr>
      <w:r>
        <w:rPr>
          <w:sz w:val="18"/>
          <w:szCs w:val="18"/>
          <w:lang w:val="es-US"/>
        </w:rPr>
        <w:t>Use mangas largas y equipo de protección personal (Personal Protective Equipment, PPE) u overoles a prueba de productos químicos para minimizar la exposición corporal.</w:t>
      </w:r>
    </w:p>
    <w:p>
      <w:pPr>
        <w:pStyle w:val="Heading3"/>
        <w:ind w:left="1424"/>
        <w:rPr>
          <w:sz w:val="18"/>
          <w:szCs w:val="18"/>
          <w:lang w:val="es-US"/>
        </w:rPr>
      </w:pPr>
      <w:r>
        <w:rPr>
          <w:sz w:val="18"/>
          <w:szCs w:val="18"/>
          <w:lang w:val="es-US"/>
        </w:rPr>
        <w:t>Protección respiratoria</w:t>
      </w:r>
    </w:p>
    <w:p>
      <w:pPr>
        <w:pStyle w:val="BodyText"/>
        <w:spacing w:before="115"/>
        <w:ind w:left="1424" w:right="318"/>
        <w:rPr>
          <w:sz w:val="18"/>
          <w:szCs w:val="18"/>
          <w:lang w:val="es-US"/>
        </w:rPr>
      </w:pPr>
      <w:r>
        <w:rPr>
          <w:sz w:val="18"/>
          <w:szCs w:val="18"/>
          <w:lang w:val="es-US"/>
        </w:rPr>
        <w:t>Mantenga las concentraciones de contaminantes transportados por el aire por debajo de las pautas mencionadas anteriormente, si corresponde. Si es necesario, use solo protección respiratoria autorizada en la Norma Federal de Protección Respiratoria de la OSHA de los EE. UU. (título 29 de CFR, 1910.134), normas estatales equivalentes de los EE. UU.</w:t>
      </w:r>
    </w:p>
    <w:p>
      <w:pPr>
        <w:rPr>
          <w:sz w:val="20"/>
          <w:szCs w:val="20"/>
          <w:lang w:val="es-US"/>
        </w:rPr>
      </w:pPr>
    </w:p>
    <w:p>
      <w:pPr>
        <w:rPr>
          <w:sz w:val="20"/>
          <w:szCs w:val="20"/>
          <w:lang w:val="es-US"/>
        </w:rPr>
      </w:pPr>
    </w:p>
    <w:p>
      <w:pPr>
        <w:pStyle w:val="Heading2"/>
        <w:numPr>
          <w:ilvl w:val="0"/>
          <w:numId w:val="8"/>
        </w:numPr>
        <w:tabs>
          <w:tab w:val="left" w:pos="477"/>
        </w:tabs>
        <w:spacing w:before="64"/>
        <w:ind w:left="477" w:hanging="223"/>
        <w:rPr>
          <w:sz w:val="18"/>
          <w:szCs w:val="18"/>
          <w:lang w:val="es-US"/>
        </w:rPr>
      </w:pPr>
      <w:r>
        <w:rPr>
          <w:sz w:val="18"/>
          <w:szCs w:val="18"/>
          <w:lang w:val="es-US"/>
        </w:rPr>
        <w:t>PROPIEDADES FÍSICAS Y QUÍMICAS</w:t>
      </w:r>
    </w:p>
    <w:p>
      <w:pPr>
        <w:pStyle w:val="BodyText"/>
        <w:spacing w:before="21"/>
        <w:rPr>
          <w:b/>
          <w:sz w:val="18"/>
          <w:szCs w:val="18"/>
          <w:lang w:val="es-US"/>
        </w:rPr>
      </w:pPr>
    </w:p>
    <w:p>
      <w:pPr>
        <w:pStyle w:val="BodyText"/>
        <w:tabs>
          <w:tab w:val="left" w:pos="5713"/>
        </w:tabs>
        <w:spacing w:before="1" w:line="229" w:lineRule="exact"/>
        <w:ind w:left="674"/>
        <w:rPr>
          <w:sz w:val="18"/>
          <w:szCs w:val="18"/>
          <w:lang w:val="es-US"/>
        </w:rPr>
      </w:pPr>
      <w:r>
        <w:rPr>
          <w:sz w:val="18"/>
          <w:szCs w:val="18"/>
          <w:lang w:val="es-US"/>
        </w:rPr>
        <w:t>ESTADO FÍSICO:</w:t>
      </w:r>
      <w:r>
        <w:rPr>
          <w:sz w:val="18"/>
          <w:szCs w:val="18"/>
          <w:lang w:val="es-US"/>
        </w:rPr>
        <w:tab/>
        <w:t>Pasta</w:t>
      </w:r>
    </w:p>
    <w:p>
      <w:pPr>
        <w:pStyle w:val="BodyText"/>
        <w:tabs>
          <w:tab w:val="left" w:pos="5713"/>
        </w:tabs>
        <w:spacing w:line="228" w:lineRule="exact"/>
        <w:ind w:left="674"/>
        <w:rPr>
          <w:sz w:val="18"/>
          <w:szCs w:val="18"/>
          <w:lang w:val="es-US"/>
        </w:rPr>
      </w:pPr>
      <w:r>
        <w:rPr>
          <w:sz w:val="18"/>
          <w:szCs w:val="18"/>
          <w:lang w:val="es-US"/>
        </w:rPr>
        <w:t>ASPECTO Y OLOR:</w:t>
      </w:r>
      <w:r>
        <w:rPr>
          <w:sz w:val="18"/>
          <w:szCs w:val="18"/>
          <w:lang w:val="es-US"/>
        </w:rPr>
        <w:tab/>
        <w:t>White</w:t>
      </w:r>
    </w:p>
    <w:p>
      <w:pPr>
        <w:pStyle w:val="BodyText"/>
        <w:tabs>
          <w:tab w:val="left" w:pos="5713"/>
        </w:tabs>
        <w:spacing w:line="228" w:lineRule="exact"/>
        <w:ind w:left="674"/>
        <w:rPr>
          <w:sz w:val="18"/>
          <w:szCs w:val="18"/>
          <w:lang w:val="es-US"/>
        </w:rPr>
      </w:pPr>
      <w:r>
        <w:rPr>
          <w:sz w:val="18"/>
          <w:szCs w:val="18"/>
          <w:lang w:val="es-US"/>
        </w:rPr>
        <w:t>UMBRAL DE OLOR (PPM):</w:t>
      </w:r>
      <w:r>
        <w:rPr>
          <w:sz w:val="18"/>
          <w:szCs w:val="18"/>
          <w:lang w:val="es-US"/>
        </w:rPr>
        <w:tab/>
        <w:t>No disponible</w:t>
      </w:r>
    </w:p>
    <w:p>
      <w:pPr>
        <w:pStyle w:val="BodyText"/>
        <w:tabs>
          <w:tab w:val="left" w:pos="5713"/>
        </w:tabs>
        <w:spacing w:line="228" w:lineRule="exact"/>
        <w:ind w:left="674"/>
        <w:rPr>
          <w:sz w:val="18"/>
          <w:szCs w:val="18"/>
          <w:lang w:val="es-US"/>
        </w:rPr>
      </w:pPr>
      <w:r>
        <w:rPr>
          <w:sz w:val="18"/>
          <w:szCs w:val="18"/>
          <w:lang w:val="es-US"/>
        </w:rPr>
        <w:t>PRESIÓN DEL VAPOR (mmHg):</w:t>
      </w:r>
      <w:r>
        <w:rPr>
          <w:sz w:val="18"/>
          <w:szCs w:val="18"/>
          <w:lang w:val="es-US"/>
        </w:rPr>
        <w:tab/>
        <w:t>No disponible</w:t>
      </w:r>
    </w:p>
    <w:p>
      <w:pPr>
        <w:pStyle w:val="BodyText"/>
        <w:tabs>
          <w:tab w:val="left" w:pos="5713"/>
        </w:tabs>
        <w:spacing w:line="229" w:lineRule="exact"/>
        <w:ind w:left="674"/>
        <w:rPr>
          <w:sz w:val="18"/>
          <w:szCs w:val="18"/>
          <w:lang w:val="es-US"/>
        </w:rPr>
      </w:pPr>
      <w:r>
        <w:rPr>
          <w:sz w:val="18"/>
          <w:szCs w:val="18"/>
          <w:lang w:val="es-US"/>
        </w:rPr>
        <w:t xml:space="preserve">DENSIDAD:  </w:t>
      </w:r>
      <w:r>
        <w:rPr>
          <w:sz w:val="18"/>
          <w:szCs w:val="18"/>
          <w:lang w:val="es-US"/>
        </w:rPr>
        <w:tab/>
        <w:t>No disponible</w:t>
      </w:r>
    </w:p>
    <w:p>
      <w:pPr>
        <w:pStyle w:val="BodyText"/>
        <w:tabs>
          <w:tab w:val="left" w:pos="5713"/>
        </w:tabs>
        <w:spacing w:before="38" w:line="229" w:lineRule="exact"/>
        <w:ind w:left="674"/>
        <w:rPr>
          <w:sz w:val="18"/>
          <w:szCs w:val="18"/>
          <w:lang w:val="es-US"/>
        </w:rPr>
      </w:pPr>
      <w:r>
        <w:rPr>
          <w:sz w:val="18"/>
          <w:szCs w:val="18"/>
          <w:lang w:val="es-US"/>
        </w:rPr>
        <w:t>TASA DE EVAPORACIÓN (nBuAc = 1):</w:t>
      </w:r>
      <w:r>
        <w:rPr>
          <w:sz w:val="18"/>
          <w:szCs w:val="18"/>
          <w:lang w:val="es-US"/>
        </w:rPr>
        <w:tab/>
        <w:t>No disponible</w:t>
      </w:r>
    </w:p>
    <w:p>
      <w:pPr>
        <w:pStyle w:val="BodyText"/>
        <w:tabs>
          <w:tab w:val="left" w:pos="5713"/>
        </w:tabs>
        <w:spacing w:line="228" w:lineRule="exact"/>
        <w:ind w:left="674"/>
        <w:rPr>
          <w:sz w:val="18"/>
          <w:szCs w:val="18"/>
          <w:lang w:val="es-US"/>
        </w:rPr>
      </w:pPr>
      <w:r>
        <w:rPr>
          <w:sz w:val="18"/>
          <w:szCs w:val="18"/>
          <w:lang w:val="es-US"/>
        </w:rPr>
        <w:lastRenderedPageBreak/>
        <w:t>PUNTO DE EBULLICIÓN (°F):</w:t>
      </w:r>
      <w:r>
        <w:rPr>
          <w:sz w:val="18"/>
          <w:szCs w:val="18"/>
          <w:lang w:val="es-US"/>
        </w:rPr>
        <w:tab/>
        <w:t>No disponible</w:t>
      </w:r>
    </w:p>
    <w:p>
      <w:pPr>
        <w:pStyle w:val="BodyText"/>
        <w:tabs>
          <w:tab w:val="left" w:pos="5713"/>
        </w:tabs>
        <w:spacing w:line="228" w:lineRule="exact"/>
        <w:ind w:left="674"/>
        <w:rPr>
          <w:sz w:val="18"/>
          <w:szCs w:val="18"/>
          <w:lang w:val="es-US"/>
        </w:rPr>
      </w:pPr>
      <w:r>
        <w:rPr>
          <w:sz w:val="18"/>
          <w:szCs w:val="18"/>
          <w:lang w:val="es-US"/>
        </w:rPr>
        <w:t>PUNTO DE CONGELACIÓN (°F):</w:t>
      </w:r>
      <w:r>
        <w:rPr>
          <w:sz w:val="18"/>
          <w:szCs w:val="18"/>
          <w:lang w:val="es-US"/>
        </w:rPr>
        <w:tab/>
        <w:t>No disponible</w:t>
      </w:r>
    </w:p>
    <w:p>
      <w:pPr>
        <w:pStyle w:val="BodyText"/>
        <w:tabs>
          <w:tab w:val="left" w:pos="5713"/>
        </w:tabs>
        <w:spacing w:line="228" w:lineRule="exact"/>
        <w:ind w:left="674"/>
        <w:rPr>
          <w:sz w:val="18"/>
          <w:szCs w:val="18"/>
          <w:lang w:val="es-US"/>
        </w:rPr>
      </w:pPr>
      <w:r>
        <w:rPr>
          <w:sz w:val="18"/>
          <w:szCs w:val="18"/>
          <w:lang w:val="es-US"/>
        </w:rPr>
        <w:t>pH:</w:t>
      </w:r>
      <w:r>
        <w:rPr>
          <w:sz w:val="18"/>
          <w:szCs w:val="18"/>
          <w:lang w:val="es-US"/>
        </w:rPr>
        <w:tab/>
        <w:t>No disponible</w:t>
      </w:r>
    </w:p>
    <w:p>
      <w:pPr>
        <w:pStyle w:val="BodyText"/>
        <w:tabs>
          <w:tab w:val="left" w:pos="5713"/>
        </w:tabs>
        <w:spacing w:line="228" w:lineRule="exact"/>
        <w:ind w:left="674"/>
        <w:rPr>
          <w:sz w:val="18"/>
          <w:szCs w:val="18"/>
          <w:lang w:val="es-US"/>
        </w:rPr>
      </w:pPr>
      <w:r>
        <w:rPr>
          <w:sz w:val="18"/>
          <w:szCs w:val="18"/>
          <w:lang w:val="es-US"/>
        </w:rPr>
        <w:t>VISCOSIDAD, dinámica</w:t>
      </w:r>
      <w:r>
        <w:rPr>
          <w:sz w:val="18"/>
          <w:szCs w:val="18"/>
          <w:lang w:val="es-US"/>
        </w:rPr>
        <w:tab/>
        <w:t>No disponible</w:t>
      </w:r>
    </w:p>
    <w:p>
      <w:pPr>
        <w:pStyle w:val="BodyText"/>
        <w:tabs>
          <w:tab w:val="left" w:pos="5713"/>
        </w:tabs>
        <w:spacing w:line="228" w:lineRule="exact"/>
        <w:ind w:left="674"/>
        <w:rPr>
          <w:sz w:val="18"/>
          <w:szCs w:val="18"/>
          <w:lang w:val="es-US"/>
        </w:rPr>
      </w:pPr>
      <w:r>
        <w:rPr>
          <w:sz w:val="18"/>
          <w:szCs w:val="18"/>
          <w:lang w:val="es-US"/>
        </w:rPr>
        <w:t>SOLUBILIDAD EN AGUA:</w:t>
      </w:r>
      <w:r>
        <w:rPr>
          <w:sz w:val="18"/>
          <w:szCs w:val="18"/>
          <w:lang w:val="es-US"/>
        </w:rPr>
        <w:tab/>
        <w:t>No disponible</w:t>
      </w:r>
    </w:p>
    <w:p>
      <w:pPr>
        <w:pStyle w:val="BodyText"/>
        <w:tabs>
          <w:tab w:val="left" w:pos="5713"/>
        </w:tabs>
        <w:spacing w:line="228" w:lineRule="exact"/>
        <w:ind w:left="674"/>
        <w:rPr>
          <w:sz w:val="18"/>
          <w:szCs w:val="18"/>
          <w:lang w:val="es-US"/>
        </w:rPr>
      </w:pPr>
      <w:r>
        <w:rPr>
          <w:sz w:val="18"/>
          <w:szCs w:val="18"/>
          <w:lang w:val="es-US"/>
        </w:rPr>
        <w:t>PUNTO DE INFLAMABILIDAD:</w:t>
      </w:r>
      <w:r>
        <w:rPr>
          <w:sz w:val="18"/>
          <w:szCs w:val="18"/>
          <w:lang w:val="es-US"/>
        </w:rPr>
        <w:tab/>
        <w:t>No disponible</w:t>
      </w:r>
    </w:p>
    <w:p>
      <w:pPr>
        <w:pStyle w:val="BodyText"/>
        <w:tabs>
          <w:tab w:val="left" w:pos="5713"/>
        </w:tabs>
        <w:spacing w:line="228" w:lineRule="exact"/>
        <w:ind w:left="674"/>
        <w:rPr>
          <w:sz w:val="18"/>
          <w:szCs w:val="18"/>
          <w:lang w:val="es-US"/>
        </w:rPr>
      </w:pPr>
      <w:r>
        <w:rPr>
          <w:sz w:val="18"/>
          <w:szCs w:val="18"/>
          <w:lang w:val="es-US"/>
        </w:rPr>
        <w:t>TEMPERATURA DE AUTOIGNICIÓN</w:t>
      </w:r>
      <w:r>
        <w:rPr>
          <w:sz w:val="18"/>
          <w:szCs w:val="18"/>
          <w:lang w:val="es-US"/>
        </w:rPr>
        <w:tab/>
        <w:t>No disponible</w:t>
      </w:r>
    </w:p>
    <w:p>
      <w:pPr>
        <w:pStyle w:val="BodyText"/>
        <w:tabs>
          <w:tab w:val="left" w:pos="5713"/>
        </w:tabs>
        <w:spacing w:line="228" w:lineRule="exact"/>
        <w:ind w:left="674"/>
        <w:rPr>
          <w:sz w:val="18"/>
          <w:szCs w:val="18"/>
          <w:lang w:val="es-US"/>
        </w:rPr>
      </w:pPr>
      <w:r>
        <w:rPr>
          <w:sz w:val="18"/>
          <w:szCs w:val="18"/>
          <w:lang w:val="es-US"/>
        </w:rPr>
        <w:t>LEL</w:t>
      </w:r>
      <w:r>
        <w:rPr>
          <w:sz w:val="18"/>
          <w:szCs w:val="18"/>
          <w:lang w:val="es-US"/>
        </w:rPr>
        <w:tab/>
        <w:t>No disponible</w:t>
      </w:r>
    </w:p>
    <w:p>
      <w:pPr>
        <w:pStyle w:val="BodyText"/>
        <w:tabs>
          <w:tab w:val="left" w:pos="5713"/>
        </w:tabs>
        <w:spacing w:line="228" w:lineRule="exact"/>
        <w:ind w:left="674"/>
        <w:rPr>
          <w:sz w:val="18"/>
          <w:szCs w:val="18"/>
          <w:lang w:val="es-US"/>
        </w:rPr>
      </w:pPr>
      <w:r>
        <w:rPr>
          <w:sz w:val="18"/>
          <w:szCs w:val="18"/>
          <w:lang w:val="es-US"/>
        </w:rPr>
        <w:t>UEL</w:t>
      </w:r>
      <w:r>
        <w:rPr>
          <w:sz w:val="18"/>
          <w:szCs w:val="18"/>
          <w:lang w:val="es-US"/>
        </w:rPr>
        <w:tab/>
        <w:t>No disponible</w:t>
      </w:r>
    </w:p>
    <w:p>
      <w:pPr>
        <w:tabs>
          <w:tab w:val="left" w:pos="5713"/>
        </w:tabs>
        <w:spacing w:line="252" w:lineRule="exact"/>
        <w:ind w:left="674"/>
        <w:rPr>
          <w:sz w:val="20"/>
          <w:szCs w:val="20"/>
          <w:lang w:val="es-US"/>
        </w:rPr>
      </w:pPr>
      <w:r>
        <w:rPr>
          <w:sz w:val="18"/>
          <w:szCs w:val="18"/>
          <w:lang w:val="es-US"/>
        </w:rPr>
        <w:t>VOC</w:t>
      </w:r>
      <w:r>
        <w:rPr>
          <w:sz w:val="18"/>
          <w:szCs w:val="18"/>
          <w:lang w:val="es-US"/>
        </w:rPr>
        <w:tab/>
        <w:t xml:space="preserve">&lt;150 </w:t>
      </w:r>
      <w:r>
        <w:rPr>
          <w:color w:val="212121"/>
          <w:sz w:val="20"/>
          <w:szCs w:val="20"/>
          <w:lang w:val="es-US"/>
        </w:rPr>
        <w:t>g/L</w:t>
      </w:r>
    </w:p>
    <w:p>
      <w:pPr>
        <w:pStyle w:val="BodyText"/>
        <w:spacing w:before="99"/>
        <w:rPr>
          <w:sz w:val="18"/>
          <w:szCs w:val="18"/>
          <w:lang w:val="es-US"/>
        </w:rPr>
      </w:pPr>
    </w:p>
    <w:p>
      <w:pPr>
        <w:pStyle w:val="Heading2"/>
        <w:numPr>
          <w:ilvl w:val="0"/>
          <w:numId w:val="8"/>
        </w:numPr>
        <w:tabs>
          <w:tab w:val="left" w:pos="596"/>
        </w:tabs>
        <w:ind w:left="596" w:hanging="342"/>
        <w:rPr>
          <w:sz w:val="18"/>
          <w:szCs w:val="18"/>
          <w:lang w:val="es-US"/>
        </w:rPr>
      </w:pPr>
      <w:r>
        <w:rPr>
          <w:sz w:val="18"/>
          <w:szCs w:val="18"/>
          <w:lang w:val="es-US"/>
        </w:rPr>
        <w:t>ESTABILIDAD Y REACTIVIDAD</w:t>
      </w:r>
    </w:p>
    <w:p>
      <w:pPr>
        <w:pStyle w:val="Heading3"/>
        <w:numPr>
          <w:ilvl w:val="1"/>
          <w:numId w:val="2"/>
        </w:numPr>
        <w:tabs>
          <w:tab w:val="left" w:pos="1198"/>
        </w:tabs>
        <w:spacing w:before="121"/>
        <w:ind w:left="1198" w:hanging="719"/>
        <w:rPr>
          <w:sz w:val="18"/>
          <w:szCs w:val="18"/>
          <w:lang w:val="es-US"/>
        </w:rPr>
      </w:pPr>
      <w:r>
        <w:rPr>
          <w:sz w:val="18"/>
          <w:szCs w:val="18"/>
          <w:lang w:val="es-US"/>
        </w:rPr>
        <w:t>Reactividad</w:t>
      </w:r>
    </w:p>
    <w:p>
      <w:pPr>
        <w:pStyle w:val="BodyText"/>
        <w:spacing w:before="3"/>
        <w:ind w:left="1199"/>
        <w:rPr>
          <w:sz w:val="18"/>
          <w:szCs w:val="18"/>
          <w:lang w:val="es-US"/>
        </w:rPr>
      </w:pPr>
      <w:r>
        <w:rPr>
          <w:sz w:val="18"/>
          <w:szCs w:val="18"/>
          <w:lang w:val="es-US"/>
        </w:rPr>
        <w:t>No hay datos disponibles</w:t>
      </w:r>
    </w:p>
    <w:p>
      <w:pPr>
        <w:pStyle w:val="Heading3"/>
        <w:numPr>
          <w:ilvl w:val="1"/>
          <w:numId w:val="2"/>
        </w:numPr>
        <w:tabs>
          <w:tab w:val="left" w:pos="1198"/>
        </w:tabs>
        <w:ind w:left="1198" w:hanging="719"/>
        <w:rPr>
          <w:sz w:val="18"/>
          <w:szCs w:val="18"/>
          <w:lang w:val="es-US"/>
        </w:rPr>
      </w:pPr>
      <w:r>
        <w:rPr>
          <w:sz w:val="18"/>
          <w:szCs w:val="18"/>
          <w:lang w:val="es-US"/>
        </w:rPr>
        <w:t>Estabilidad química</w:t>
      </w:r>
    </w:p>
    <w:p>
      <w:pPr>
        <w:pStyle w:val="BodyText"/>
        <w:spacing w:before="3"/>
        <w:ind w:left="1199"/>
        <w:rPr>
          <w:sz w:val="18"/>
          <w:szCs w:val="18"/>
          <w:lang w:val="es-US"/>
        </w:rPr>
      </w:pPr>
      <w:r>
        <w:rPr>
          <w:sz w:val="18"/>
          <w:szCs w:val="18"/>
          <w:lang w:val="es-US"/>
        </w:rPr>
        <w:t>Estable en las condiciones de almacenamiento recomendadas.</w:t>
      </w:r>
    </w:p>
    <w:p>
      <w:pPr>
        <w:pStyle w:val="Heading3"/>
        <w:numPr>
          <w:ilvl w:val="1"/>
          <w:numId w:val="2"/>
        </w:numPr>
        <w:tabs>
          <w:tab w:val="left" w:pos="1198"/>
        </w:tabs>
        <w:ind w:left="1198" w:hanging="719"/>
        <w:rPr>
          <w:sz w:val="18"/>
          <w:szCs w:val="18"/>
          <w:lang w:val="es-US"/>
        </w:rPr>
      </w:pPr>
      <w:r>
        <w:rPr>
          <w:sz w:val="18"/>
          <w:szCs w:val="18"/>
          <w:lang w:val="es-US"/>
        </w:rPr>
        <w:t>Posibilidad de reacciones peligrosas</w:t>
      </w:r>
    </w:p>
    <w:p>
      <w:pPr>
        <w:pStyle w:val="BodyText"/>
        <w:ind w:left="1199"/>
        <w:rPr>
          <w:sz w:val="18"/>
          <w:szCs w:val="18"/>
          <w:lang w:val="es-US"/>
        </w:rPr>
      </w:pPr>
      <w:r>
        <w:rPr>
          <w:sz w:val="18"/>
          <w:szCs w:val="18"/>
          <w:lang w:val="es-US"/>
        </w:rPr>
        <w:t>Ninguna conocida.</w:t>
      </w:r>
    </w:p>
    <w:p>
      <w:pPr>
        <w:pStyle w:val="Heading3"/>
        <w:numPr>
          <w:ilvl w:val="1"/>
          <w:numId w:val="2"/>
        </w:numPr>
        <w:tabs>
          <w:tab w:val="left" w:pos="1198"/>
        </w:tabs>
        <w:ind w:left="1198" w:hanging="719"/>
        <w:rPr>
          <w:sz w:val="18"/>
          <w:szCs w:val="18"/>
          <w:lang w:val="es-US"/>
        </w:rPr>
      </w:pPr>
      <w:r>
        <w:rPr>
          <w:sz w:val="18"/>
          <w:szCs w:val="18"/>
          <w:lang w:val="es-US"/>
        </w:rPr>
        <w:t>Condiciones que se deben evitar</w:t>
      </w:r>
    </w:p>
    <w:p>
      <w:pPr>
        <w:pStyle w:val="BodyText"/>
        <w:spacing w:before="3"/>
        <w:ind w:left="1199"/>
        <w:rPr>
          <w:sz w:val="18"/>
          <w:szCs w:val="18"/>
          <w:lang w:val="es-US"/>
        </w:rPr>
      </w:pPr>
      <w:r>
        <w:rPr>
          <w:sz w:val="18"/>
          <w:szCs w:val="18"/>
          <w:lang w:val="es-US"/>
        </w:rPr>
        <w:t>Ninguna en las condiciones de almacenamiento y manejo recomendadas.</w:t>
      </w:r>
    </w:p>
    <w:p>
      <w:pPr>
        <w:pStyle w:val="Heading3"/>
        <w:numPr>
          <w:ilvl w:val="1"/>
          <w:numId w:val="2"/>
        </w:numPr>
        <w:tabs>
          <w:tab w:val="left" w:pos="1198"/>
        </w:tabs>
        <w:ind w:left="1198" w:hanging="719"/>
        <w:rPr>
          <w:sz w:val="18"/>
          <w:szCs w:val="18"/>
          <w:lang w:val="es-US"/>
        </w:rPr>
      </w:pPr>
      <w:r>
        <w:rPr>
          <w:sz w:val="18"/>
          <w:szCs w:val="18"/>
          <w:lang w:val="es-US"/>
        </w:rPr>
        <w:t>Materiales incompatibles</w:t>
      </w:r>
    </w:p>
    <w:p>
      <w:pPr>
        <w:pStyle w:val="BodyText"/>
        <w:spacing w:before="3"/>
        <w:ind w:left="1199"/>
        <w:rPr>
          <w:sz w:val="18"/>
          <w:szCs w:val="18"/>
          <w:lang w:val="es-US"/>
        </w:rPr>
      </w:pPr>
      <w:r>
        <w:rPr>
          <w:sz w:val="18"/>
          <w:szCs w:val="18"/>
          <w:lang w:val="es-US"/>
        </w:rPr>
        <w:t>Ninguna conocida.</w:t>
      </w:r>
    </w:p>
    <w:p>
      <w:pPr>
        <w:pStyle w:val="Heading3"/>
        <w:numPr>
          <w:ilvl w:val="1"/>
          <w:numId w:val="2"/>
        </w:numPr>
        <w:tabs>
          <w:tab w:val="left" w:pos="1198"/>
        </w:tabs>
        <w:ind w:left="1198" w:hanging="719"/>
        <w:rPr>
          <w:sz w:val="18"/>
          <w:szCs w:val="18"/>
          <w:lang w:val="es-US"/>
        </w:rPr>
      </w:pPr>
      <w:r>
        <w:rPr>
          <w:sz w:val="18"/>
          <w:szCs w:val="18"/>
          <w:lang w:val="es-US"/>
        </w:rPr>
        <w:t>Productos de descomposición peligrosos</w:t>
      </w:r>
    </w:p>
    <w:p>
      <w:pPr>
        <w:pStyle w:val="BodyText"/>
        <w:spacing w:before="1"/>
        <w:ind w:left="1199"/>
        <w:rPr>
          <w:sz w:val="18"/>
          <w:szCs w:val="18"/>
          <w:lang w:val="es-US"/>
        </w:rPr>
      </w:pPr>
      <w:r>
        <w:rPr>
          <w:sz w:val="18"/>
          <w:szCs w:val="18"/>
          <w:lang w:val="es-US"/>
        </w:rPr>
        <w:t>Ninguna conocida.</w:t>
      </w:r>
    </w:p>
    <w:p>
      <w:pPr>
        <w:pStyle w:val="Heading2"/>
        <w:numPr>
          <w:ilvl w:val="0"/>
          <w:numId w:val="8"/>
        </w:numPr>
        <w:tabs>
          <w:tab w:val="left" w:pos="582"/>
        </w:tabs>
        <w:spacing w:before="179"/>
        <w:ind w:left="582" w:hanging="328"/>
        <w:rPr>
          <w:sz w:val="18"/>
          <w:szCs w:val="18"/>
          <w:lang w:val="es-US"/>
        </w:rPr>
      </w:pPr>
      <w:r>
        <w:rPr>
          <w:sz w:val="18"/>
          <w:szCs w:val="18"/>
          <w:lang w:val="es-US"/>
        </w:rPr>
        <w:t>INFORMACIÓN TOXICOLÓGICA</w:t>
      </w:r>
    </w:p>
    <w:p>
      <w:pPr>
        <w:pStyle w:val="BodyText"/>
        <w:spacing w:before="34"/>
        <w:rPr>
          <w:b/>
          <w:sz w:val="18"/>
          <w:szCs w:val="18"/>
          <w:lang w:val="es-US"/>
        </w:rPr>
      </w:pPr>
    </w:p>
    <w:p>
      <w:pPr>
        <w:pStyle w:val="BodyText"/>
        <w:tabs>
          <w:tab w:val="left" w:pos="4438"/>
        </w:tabs>
        <w:ind w:left="839"/>
        <w:rPr>
          <w:sz w:val="18"/>
          <w:szCs w:val="18"/>
          <w:lang w:val="es-US"/>
        </w:rPr>
      </w:pPr>
      <w:r>
        <w:rPr>
          <w:sz w:val="18"/>
          <w:szCs w:val="18"/>
          <w:lang w:val="es-US"/>
        </w:rPr>
        <w:t>Síntomas/efectos:</w:t>
      </w:r>
      <w:r>
        <w:rPr>
          <w:sz w:val="18"/>
          <w:szCs w:val="18"/>
          <w:lang w:val="es-US"/>
        </w:rPr>
        <w:tab/>
        <w:t>Puede provocar una reacción alérgica en la piel. Se sospecha que puede ser perjudicial para la fertilidad.</w:t>
      </w:r>
    </w:p>
    <w:p>
      <w:pPr>
        <w:pStyle w:val="BodyText"/>
        <w:ind w:left="4439"/>
        <w:rPr>
          <w:sz w:val="18"/>
          <w:szCs w:val="18"/>
          <w:lang w:val="es-US"/>
        </w:rPr>
      </w:pPr>
      <w:r>
        <w:rPr>
          <w:sz w:val="18"/>
          <w:szCs w:val="18"/>
          <w:lang w:val="es-US"/>
        </w:rPr>
        <w:t>Se sospecha que puede ser perjudicial para el feto.</w:t>
      </w:r>
    </w:p>
    <w:p>
      <w:pPr>
        <w:pStyle w:val="BodyText"/>
        <w:rPr>
          <w:sz w:val="18"/>
          <w:szCs w:val="18"/>
          <w:lang w:val="es-US"/>
        </w:rPr>
      </w:pPr>
    </w:p>
    <w:p>
      <w:pPr>
        <w:pStyle w:val="BodyText"/>
        <w:tabs>
          <w:tab w:val="left" w:pos="4438"/>
        </w:tabs>
        <w:spacing w:line="480" w:lineRule="auto"/>
        <w:ind w:left="839" w:right="3852"/>
        <w:rPr>
          <w:sz w:val="18"/>
          <w:szCs w:val="18"/>
          <w:lang w:val="es-US"/>
        </w:rPr>
      </w:pPr>
      <w:r>
        <w:rPr>
          <w:sz w:val="18"/>
          <w:szCs w:val="18"/>
          <w:lang w:val="es-US"/>
        </w:rPr>
        <w:t>Síntomas/efectos después de la inhalación:</w:t>
      </w:r>
      <w:r>
        <w:rPr>
          <w:sz w:val="18"/>
          <w:szCs w:val="18"/>
          <w:lang w:val="es-US"/>
        </w:rPr>
        <w:tab/>
        <w:t>Puede provocar irritación de las vías respiratorias. Síntomas/efectos después del contacto con la piel:</w:t>
      </w:r>
      <w:r>
        <w:rPr>
          <w:sz w:val="18"/>
          <w:szCs w:val="18"/>
          <w:lang w:val="es-US"/>
        </w:rPr>
        <w:tab/>
        <w:t>Puede provocar una reacción alérgica en la piel. Síntomas/efectos después del contacto con los ojos:</w:t>
      </w:r>
      <w:r>
        <w:rPr>
          <w:sz w:val="18"/>
          <w:szCs w:val="18"/>
          <w:lang w:val="es-US"/>
        </w:rPr>
        <w:tab/>
        <w:t>Puede provocar irritación ocular.</w:t>
      </w:r>
    </w:p>
    <w:p>
      <w:pPr>
        <w:pStyle w:val="BodyText"/>
        <w:tabs>
          <w:tab w:val="left" w:pos="4438"/>
        </w:tabs>
        <w:ind w:left="839"/>
        <w:rPr>
          <w:sz w:val="18"/>
          <w:szCs w:val="18"/>
          <w:lang w:val="es-US"/>
        </w:rPr>
      </w:pPr>
      <w:r>
        <w:rPr>
          <w:sz w:val="18"/>
          <w:szCs w:val="18"/>
          <w:lang w:val="es-US"/>
        </w:rPr>
        <w:t>Síntomas/efectos después de la ingestión:</w:t>
      </w:r>
      <w:r>
        <w:rPr>
          <w:sz w:val="18"/>
          <w:szCs w:val="18"/>
          <w:lang w:val="es-US"/>
        </w:rPr>
        <w:tab/>
        <w:t>Puede causar irritación gastrointestinal.</w:t>
      </w:r>
    </w:p>
    <w:p>
      <w:pPr>
        <w:pStyle w:val="BodyText"/>
        <w:rPr>
          <w:sz w:val="18"/>
          <w:szCs w:val="18"/>
          <w:lang w:val="es-US"/>
        </w:rPr>
      </w:pPr>
    </w:p>
    <w:p>
      <w:pPr>
        <w:pStyle w:val="BodyText"/>
        <w:tabs>
          <w:tab w:val="left" w:pos="4438"/>
        </w:tabs>
        <w:ind w:left="884"/>
        <w:rPr>
          <w:sz w:val="18"/>
          <w:szCs w:val="18"/>
          <w:lang w:val="es-US"/>
        </w:rPr>
      </w:pPr>
      <w:r>
        <w:rPr>
          <w:sz w:val="18"/>
          <w:szCs w:val="18"/>
          <w:lang w:val="es-US"/>
        </w:rPr>
        <w:t>Síntomas crónicos:</w:t>
      </w:r>
      <w:r>
        <w:rPr>
          <w:sz w:val="18"/>
          <w:szCs w:val="18"/>
          <w:lang w:val="es-US"/>
        </w:rPr>
        <w:tab/>
        <w:t>Puede provocar una reacción alérgica en la piel. Se sospecha que puede ser perjudicial para la fertilidad.</w:t>
      </w:r>
    </w:p>
    <w:p>
      <w:pPr>
        <w:pStyle w:val="BodyText"/>
        <w:ind w:left="4439"/>
        <w:rPr>
          <w:sz w:val="18"/>
          <w:szCs w:val="18"/>
          <w:lang w:val="es-US"/>
        </w:rPr>
      </w:pPr>
      <w:r>
        <w:rPr>
          <w:sz w:val="18"/>
          <w:szCs w:val="18"/>
          <w:lang w:val="es-US"/>
        </w:rPr>
        <w:t>Se sospecha que puede ser perjudicial para el feto.</w:t>
      </w:r>
    </w:p>
    <w:p>
      <w:pPr>
        <w:rPr>
          <w:sz w:val="20"/>
          <w:szCs w:val="20"/>
          <w:lang w:val="es-US"/>
        </w:rPr>
      </w:pPr>
    </w:p>
    <w:p>
      <w:pPr>
        <w:pStyle w:val="Heading3"/>
        <w:spacing w:before="100"/>
        <w:ind w:left="1109"/>
        <w:rPr>
          <w:sz w:val="18"/>
          <w:szCs w:val="18"/>
          <w:lang w:val="es-US"/>
        </w:rPr>
      </w:pPr>
      <w:r>
        <w:rPr>
          <w:sz w:val="18"/>
          <w:szCs w:val="18"/>
          <w:lang w:val="es-US"/>
        </w:rPr>
        <w:t>Irritación del producto</w:t>
      </w:r>
    </w:p>
    <w:p>
      <w:pPr>
        <w:pStyle w:val="BodyText"/>
        <w:ind w:left="1109"/>
        <w:rPr>
          <w:sz w:val="18"/>
          <w:szCs w:val="18"/>
          <w:lang w:val="es-US"/>
        </w:rPr>
      </w:pPr>
      <w:r>
        <w:rPr>
          <w:sz w:val="18"/>
          <w:szCs w:val="18"/>
          <w:lang w:val="es-US"/>
        </w:rPr>
        <w:t>El contacto con este producto puede irritar la piel y los ojos expuestos.</w:t>
      </w:r>
    </w:p>
    <w:p>
      <w:pPr>
        <w:pStyle w:val="BodyText"/>
        <w:spacing w:before="117"/>
        <w:rPr>
          <w:sz w:val="18"/>
          <w:szCs w:val="18"/>
          <w:lang w:val="es-US"/>
        </w:rPr>
      </w:pPr>
    </w:p>
    <w:p>
      <w:pPr>
        <w:pStyle w:val="Heading3"/>
        <w:spacing w:before="1"/>
        <w:ind w:left="1109"/>
        <w:rPr>
          <w:sz w:val="18"/>
          <w:szCs w:val="18"/>
          <w:lang w:val="es-US"/>
        </w:rPr>
      </w:pPr>
      <w:r>
        <w:rPr>
          <w:sz w:val="18"/>
          <w:szCs w:val="18"/>
          <w:lang w:val="es-US"/>
        </w:rPr>
        <w:t>Toxicidad reproductiva</w:t>
      </w:r>
    </w:p>
    <w:p>
      <w:pPr>
        <w:pStyle w:val="BodyText"/>
        <w:spacing w:before="3"/>
        <w:ind w:left="1109"/>
        <w:rPr>
          <w:sz w:val="18"/>
          <w:szCs w:val="18"/>
          <w:lang w:val="es-US"/>
        </w:rPr>
      </w:pPr>
      <w:r>
        <w:rPr>
          <w:sz w:val="18"/>
          <w:szCs w:val="18"/>
          <w:lang w:val="es-US"/>
        </w:rPr>
        <w:t>Se sospecha que puede provocar problemas de fertilidad o ser perjudicial para el feto.</w:t>
      </w:r>
    </w:p>
    <w:p>
      <w:pPr>
        <w:pStyle w:val="BodyText"/>
        <w:spacing w:before="6"/>
        <w:rPr>
          <w:sz w:val="18"/>
          <w:szCs w:val="18"/>
          <w:lang w:val="es-US"/>
        </w:rPr>
      </w:pPr>
    </w:p>
    <w:p>
      <w:pPr>
        <w:pStyle w:val="Heading3"/>
        <w:spacing w:before="1"/>
        <w:ind w:left="1109"/>
        <w:rPr>
          <w:sz w:val="18"/>
          <w:szCs w:val="18"/>
          <w:lang w:val="es-US"/>
        </w:rPr>
      </w:pPr>
      <w:r>
        <w:rPr>
          <w:sz w:val="18"/>
          <w:szCs w:val="18"/>
          <w:lang w:val="es-US"/>
        </w:rPr>
        <w:t>Toxicidad específica sobre órganos diana (exposición única)</w:t>
      </w:r>
    </w:p>
    <w:p>
      <w:pPr>
        <w:pStyle w:val="BodyText"/>
        <w:ind w:left="1109"/>
        <w:rPr>
          <w:sz w:val="18"/>
          <w:szCs w:val="18"/>
          <w:lang w:val="es-US"/>
        </w:rPr>
      </w:pPr>
      <w:r>
        <w:rPr>
          <w:sz w:val="18"/>
          <w:szCs w:val="18"/>
          <w:lang w:val="es-US"/>
        </w:rPr>
        <w:t>No hay datos disponibles.</w:t>
      </w:r>
    </w:p>
    <w:p>
      <w:pPr>
        <w:pStyle w:val="BodyText"/>
        <w:spacing w:before="24"/>
        <w:rPr>
          <w:sz w:val="18"/>
          <w:szCs w:val="18"/>
          <w:lang w:val="es-US"/>
        </w:rPr>
      </w:pPr>
    </w:p>
    <w:p>
      <w:pPr>
        <w:pStyle w:val="Heading3"/>
        <w:spacing w:before="1"/>
        <w:ind w:left="1109"/>
        <w:rPr>
          <w:sz w:val="18"/>
          <w:szCs w:val="18"/>
          <w:lang w:val="es-US"/>
        </w:rPr>
      </w:pPr>
      <w:r>
        <w:rPr>
          <w:sz w:val="18"/>
          <w:szCs w:val="18"/>
          <w:lang w:val="es-US"/>
        </w:rPr>
        <w:t>Toxicidad específica sobre órganos diana, exposición reiterada</w:t>
      </w:r>
    </w:p>
    <w:p>
      <w:pPr>
        <w:pStyle w:val="BodyText"/>
        <w:ind w:left="1109"/>
        <w:rPr>
          <w:sz w:val="18"/>
          <w:szCs w:val="18"/>
          <w:lang w:val="es-US"/>
        </w:rPr>
      </w:pPr>
      <w:r>
        <w:rPr>
          <w:sz w:val="18"/>
          <w:szCs w:val="18"/>
          <w:lang w:val="es-US"/>
        </w:rPr>
        <w:t>No hay datos disponibles.</w:t>
      </w:r>
    </w:p>
    <w:p>
      <w:pPr>
        <w:pStyle w:val="BodyText"/>
        <w:spacing w:before="24"/>
        <w:rPr>
          <w:sz w:val="18"/>
          <w:szCs w:val="18"/>
          <w:lang w:val="es-US"/>
        </w:rPr>
      </w:pPr>
    </w:p>
    <w:p>
      <w:pPr>
        <w:pStyle w:val="Heading3"/>
        <w:spacing w:before="1"/>
        <w:ind w:left="1109"/>
        <w:rPr>
          <w:sz w:val="18"/>
          <w:szCs w:val="18"/>
          <w:lang w:val="es-US"/>
        </w:rPr>
      </w:pPr>
      <w:r>
        <w:rPr>
          <w:sz w:val="18"/>
          <w:szCs w:val="18"/>
          <w:lang w:val="es-US"/>
        </w:rPr>
        <w:t>Peligro de aspiración</w:t>
      </w:r>
    </w:p>
    <w:p>
      <w:pPr>
        <w:pStyle w:val="BodyText"/>
        <w:ind w:left="1109"/>
        <w:rPr>
          <w:sz w:val="18"/>
          <w:szCs w:val="18"/>
          <w:lang w:val="es-US"/>
        </w:rPr>
      </w:pPr>
      <w:r>
        <w:rPr>
          <w:sz w:val="18"/>
          <w:szCs w:val="18"/>
          <w:lang w:val="es-US"/>
        </w:rPr>
        <w:t>No hay datos disponibles.</w:t>
      </w:r>
    </w:p>
    <w:p>
      <w:pPr>
        <w:pStyle w:val="BodyText"/>
        <w:spacing w:before="9"/>
        <w:rPr>
          <w:sz w:val="9"/>
          <w:szCs w:val="18"/>
          <w:lang w:val="es-US"/>
        </w:rPr>
      </w:pPr>
      <w:r>
        <w:rPr>
          <w:noProof/>
          <w:sz w:val="18"/>
          <w:szCs w:val="18"/>
          <w:lang w:val="es-US"/>
        </w:rPr>
        <w:drawing>
          <wp:anchor distT="0" distB="0" distL="0" distR="0" simplePos="0" relativeHeight="251659264" behindDoc="1" locked="0" layoutInCell="1" allowOverlap="1">
            <wp:simplePos x="0" y="0"/>
            <wp:positionH relativeFrom="page">
              <wp:posOffset>888365</wp:posOffset>
            </wp:positionH>
            <wp:positionV relativeFrom="paragraph">
              <wp:posOffset>101499</wp:posOffset>
            </wp:positionV>
            <wp:extent cx="5903906" cy="1261490"/>
            <wp:effectExtent l="0" t="0" r="0" b="0"/>
            <wp:wrapTopAndBottom/>
            <wp:docPr id="8" name="Image 8"/>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0" cstate="print"/>
                    <a:stretch>
                      <a:fillRect/>
                    </a:stretch>
                  </pic:blipFill>
                  <pic:spPr>
                    <a:xfrm>
                      <a:off x="0" y="0"/>
                      <a:ext cx="5903906" cy="1261490"/>
                    </a:xfrm>
                    <a:prstGeom prst="rect">
                      <a:avLst/>
                    </a:prstGeom>
                  </pic:spPr>
                </pic:pic>
              </a:graphicData>
            </a:graphic>
          </wp:anchor>
        </w:drawing>
      </w:r>
    </w:p>
    <w:p>
      <w:pPr>
        <w:pStyle w:val="BodyText"/>
        <w:spacing w:before="58"/>
        <w:rPr>
          <w:sz w:val="18"/>
          <w:szCs w:val="18"/>
          <w:lang w:val="es-US"/>
        </w:rPr>
      </w:pPr>
    </w:p>
    <w:p>
      <w:pPr>
        <w:pStyle w:val="Heading2"/>
        <w:numPr>
          <w:ilvl w:val="0"/>
          <w:numId w:val="8"/>
        </w:numPr>
        <w:tabs>
          <w:tab w:val="left" w:pos="596"/>
        </w:tabs>
        <w:ind w:left="596" w:hanging="342"/>
        <w:rPr>
          <w:sz w:val="18"/>
          <w:szCs w:val="18"/>
          <w:lang w:val="es-US"/>
        </w:rPr>
      </w:pPr>
      <w:r>
        <w:rPr>
          <w:sz w:val="18"/>
          <w:szCs w:val="18"/>
          <w:lang w:val="es-US"/>
        </w:rPr>
        <w:t>INFORMACIÓN ECOLÓGICA</w:t>
      </w:r>
    </w:p>
    <w:p>
      <w:pPr>
        <w:tabs>
          <w:tab w:val="left" w:pos="1108"/>
        </w:tabs>
        <w:spacing w:before="112"/>
        <w:ind w:left="479"/>
        <w:rPr>
          <w:b/>
          <w:sz w:val="18"/>
          <w:szCs w:val="20"/>
          <w:lang w:val="es-US"/>
        </w:rPr>
      </w:pPr>
      <w:r>
        <w:rPr>
          <w:sz w:val="18"/>
          <w:szCs w:val="18"/>
          <w:lang w:val="es-US"/>
        </w:rPr>
        <w:t>12.1</w:t>
      </w:r>
      <w:r>
        <w:rPr>
          <w:sz w:val="18"/>
          <w:szCs w:val="18"/>
          <w:lang w:val="es-US"/>
        </w:rPr>
        <w:tab/>
      </w:r>
      <w:r>
        <w:rPr>
          <w:b/>
          <w:bCs/>
          <w:sz w:val="18"/>
          <w:szCs w:val="18"/>
          <w:lang w:val="es-US"/>
        </w:rPr>
        <w:t>Toxicidad</w:t>
      </w:r>
    </w:p>
    <w:p>
      <w:pPr>
        <w:pStyle w:val="BodyText"/>
        <w:spacing w:before="118"/>
        <w:ind w:left="1091"/>
        <w:rPr>
          <w:sz w:val="18"/>
          <w:szCs w:val="18"/>
          <w:lang w:val="es-US"/>
        </w:rPr>
      </w:pPr>
      <w:r>
        <w:rPr>
          <w:sz w:val="18"/>
          <w:szCs w:val="18"/>
          <w:lang w:val="es-US"/>
        </w:rPr>
        <w:t>Actualmente no hay datos específicos disponibles sobre los efectos de este producto en plantas o animales.</w:t>
      </w:r>
    </w:p>
    <w:p>
      <w:pPr>
        <w:pStyle w:val="Heading3"/>
        <w:numPr>
          <w:ilvl w:val="1"/>
          <w:numId w:val="1"/>
        </w:numPr>
        <w:tabs>
          <w:tab w:val="left" w:pos="1108"/>
        </w:tabs>
        <w:ind w:left="1108" w:hanging="629"/>
        <w:rPr>
          <w:sz w:val="18"/>
          <w:szCs w:val="18"/>
          <w:lang w:val="es-US"/>
        </w:rPr>
      </w:pPr>
      <w:r>
        <w:rPr>
          <w:sz w:val="18"/>
          <w:szCs w:val="18"/>
          <w:lang w:val="es-US"/>
        </w:rPr>
        <w:t>Potencial bioacumulativo</w:t>
      </w:r>
    </w:p>
    <w:p>
      <w:pPr>
        <w:pStyle w:val="BodyText"/>
        <w:spacing w:before="3"/>
        <w:ind w:left="1109"/>
        <w:rPr>
          <w:sz w:val="18"/>
          <w:szCs w:val="18"/>
          <w:lang w:val="es-US"/>
        </w:rPr>
      </w:pPr>
      <w:r>
        <w:rPr>
          <w:sz w:val="18"/>
          <w:szCs w:val="18"/>
          <w:lang w:val="es-US"/>
        </w:rPr>
        <w:t>No hay datos disponibles</w:t>
      </w:r>
    </w:p>
    <w:p>
      <w:pPr>
        <w:pStyle w:val="Heading3"/>
        <w:numPr>
          <w:ilvl w:val="1"/>
          <w:numId w:val="1"/>
        </w:numPr>
        <w:tabs>
          <w:tab w:val="left" w:pos="1108"/>
        </w:tabs>
        <w:ind w:left="1108" w:hanging="629"/>
        <w:rPr>
          <w:sz w:val="18"/>
          <w:szCs w:val="18"/>
          <w:lang w:val="es-US"/>
        </w:rPr>
      </w:pPr>
      <w:r>
        <w:rPr>
          <w:sz w:val="18"/>
          <w:szCs w:val="18"/>
          <w:lang w:val="es-US"/>
        </w:rPr>
        <w:t>Movilidad en el suelo</w:t>
      </w:r>
    </w:p>
    <w:p>
      <w:pPr>
        <w:pStyle w:val="BodyText"/>
        <w:spacing w:before="3"/>
        <w:ind w:left="1109"/>
        <w:rPr>
          <w:sz w:val="18"/>
          <w:szCs w:val="18"/>
          <w:lang w:val="es-US"/>
        </w:rPr>
      </w:pPr>
      <w:r>
        <w:rPr>
          <w:sz w:val="18"/>
          <w:szCs w:val="18"/>
          <w:lang w:val="es-US"/>
        </w:rPr>
        <w:t>No hay datos disponibles</w:t>
      </w:r>
    </w:p>
    <w:p>
      <w:pPr>
        <w:pStyle w:val="Heading3"/>
        <w:numPr>
          <w:ilvl w:val="1"/>
          <w:numId w:val="1"/>
        </w:numPr>
        <w:tabs>
          <w:tab w:val="left" w:pos="1108"/>
        </w:tabs>
        <w:spacing w:before="115"/>
        <w:ind w:left="1108" w:hanging="629"/>
        <w:rPr>
          <w:sz w:val="18"/>
          <w:szCs w:val="18"/>
          <w:lang w:val="es-US"/>
        </w:rPr>
      </w:pPr>
      <w:r>
        <w:rPr>
          <w:sz w:val="18"/>
          <w:szCs w:val="18"/>
          <w:lang w:val="es-US"/>
        </w:rPr>
        <w:t>Resultados de la evaluación de PBT y vPvB</w:t>
      </w:r>
    </w:p>
    <w:p>
      <w:pPr>
        <w:pStyle w:val="BodyText"/>
        <w:spacing w:before="3"/>
        <w:ind w:left="1109"/>
        <w:rPr>
          <w:sz w:val="18"/>
          <w:szCs w:val="18"/>
          <w:lang w:val="es-US"/>
        </w:rPr>
      </w:pPr>
      <w:r>
        <w:rPr>
          <w:sz w:val="18"/>
          <w:szCs w:val="18"/>
          <w:lang w:val="es-US"/>
        </w:rPr>
        <w:t>La evaluación de PBT/vPvB no está disponible ya que no se requiere/no se realiza la evaluación de seguridad química</w:t>
      </w:r>
    </w:p>
    <w:p>
      <w:pPr>
        <w:pStyle w:val="Heading3"/>
        <w:numPr>
          <w:ilvl w:val="1"/>
          <w:numId w:val="1"/>
        </w:numPr>
        <w:tabs>
          <w:tab w:val="left" w:pos="1024"/>
        </w:tabs>
        <w:spacing w:before="50"/>
        <w:ind w:left="1024" w:hanging="536"/>
        <w:rPr>
          <w:sz w:val="18"/>
          <w:szCs w:val="18"/>
          <w:lang w:val="es-US"/>
        </w:rPr>
      </w:pPr>
      <w:r>
        <w:rPr>
          <w:sz w:val="18"/>
          <w:szCs w:val="18"/>
          <w:lang w:val="es-US"/>
        </w:rPr>
        <w:t>Otros efectos adversos</w:t>
      </w:r>
    </w:p>
    <w:p>
      <w:pPr>
        <w:pStyle w:val="BodyText"/>
        <w:spacing w:before="118"/>
        <w:ind w:left="1083"/>
        <w:rPr>
          <w:sz w:val="18"/>
          <w:szCs w:val="18"/>
          <w:lang w:val="es-US"/>
        </w:rPr>
      </w:pPr>
      <w:r>
        <w:rPr>
          <w:sz w:val="18"/>
          <w:szCs w:val="18"/>
          <w:lang w:val="es-US"/>
        </w:rPr>
        <w:t>No hay datos disponibles</w:t>
      </w:r>
    </w:p>
    <w:p>
      <w:pPr>
        <w:pStyle w:val="BodyText"/>
        <w:spacing w:before="8"/>
        <w:rPr>
          <w:sz w:val="18"/>
          <w:szCs w:val="18"/>
          <w:lang w:val="es-US"/>
        </w:rPr>
      </w:pPr>
      <w:r>
        <w:rPr>
          <w:noProof/>
          <w:sz w:val="18"/>
          <w:szCs w:val="18"/>
          <w:lang w:val="es-US"/>
        </w:rPr>
        <w:drawing>
          <wp:anchor distT="0" distB="0" distL="0" distR="0" simplePos="0" relativeHeight="251660288" behindDoc="1" locked="0" layoutInCell="1" allowOverlap="1">
            <wp:simplePos x="0" y="0"/>
            <wp:positionH relativeFrom="page">
              <wp:posOffset>865520</wp:posOffset>
            </wp:positionH>
            <wp:positionV relativeFrom="paragraph">
              <wp:posOffset>166368</wp:posOffset>
            </wp:positionV>
            <wp:extent cx="5247246" cy="1570863"/>
            <wp:effectExtent l="0" t="0" r="0" b="0"/>
            <wp:wrapTopAndBottom/>
            <wp:docPr id="9" name="Image 9"/>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1" cstate="print"/>
                    <a:stretch>
                      <a:fillRect/>
                    </a:stretch>
                  </pic:blipFill>
                  <pic:spPr>
                    <a:xfrm>
                      <a:off x="0" y="0"/>
                      <a:ext cx="5247246" cy="1570863"/>
                    </a:xfrm>
                    <a:prstGeom prst="rect">
                      <a:avLst/>
                    </a:prstGeom>
                  </pic:spPr>
                </pic:pic>
              </a:graphicData>
            </a:graphic>
          </wp:anchor>
        </w:drawing>
      </w:r>
    </w:p>
    <w:p>
      <w:pPr>
        <w:pStyle w:val="BodyText"/>
        <w:spacing w:before="104"/>
        <w:rPr>
          <w:sz w:val="18"/>
          <w:szCs w:val="18"/>
          <w:lang w:val="es-US"/>
        </w:rPr>
      </w:pPr>
    </w:p>
    <w:p>
      <w:pPr>
        <w:pStyle w:val="Heading2"/>
        <w:numPr>
          <w:ilvl w:val="0"/>
          <w:numId w:val="8"/>
        </w:numPr>
        <w:tabs>
          <w:tab w:val="left" w:pos="581"/>
        </w:tabs>
        <w:ind w:left="581" w:hanging="327"/>
        <w:rPr>
          <w:sz w:val="18"/>
          <w:szCs w:val="18"/>
          <w:lang w:val="es-US"/>
        </w:rPr>
      </w:pPr>
      <w:r>
        <w:rPr>
          <w:sz w:val="18"/>
          <w:szCs w:val="18"/>
          <w:lang w:val="es-US"/>
        </w:rPr>
        <w:t>CONSIDERACIONES DE ELIMINACIÓN</w:t>
      </w:r>
    </w:p>
    <w:p>
      <w:pPr>
        <w:pStyle w:val="Heading3"/>
        <w:tabs>
          <w:tab w:val="left" w:pos="1108"/>
        </w:tabs>
        <w:spacing w:before="17"/>
        <w:ind w:left="479"/>
        <w:rPr>
          <w:sz w:val="18"/>
          <w:szCs w:val="18"/>
          <w:lang w:val="es-US"/>
        </w:rPr>
      </w:pPr>
      <w:r>
        <w:rPr>
          <w:b w:val="0"/>
          <w:sz w:val="18"/>
          <w:szCs w:val="18"/>
          <w:lang w:val="es-US"/>
        </w:rPr>
        <w:t>13.1</w:t>
      </w:r>
      <w:r>
        <w:rPr>
          <w:b w:val="0"/>
          <w:sz w:val="18"/>
          <w:szCs w:val="18"/>
          <w:lang w:val="es-US"/>
        </w:rPr>
        <w:tab/>
      </w:r>
      <w:r>
        <w:rPr>
          <w:sz w:val="18"/>
          <w:szCs w:val="18"/>
          <w:lang w:val="es-US"/>
        </w:rPr>
        <w:t>Métodos de eliminación de desechos</w:t>
      </w:r>
    </w:p>
    <w:p>
      <w:pPr>
        <w:pStyle w:val="BodyText"/>
        <w:spacing w:before="72"/>
        <w:ind w:left="1109"/>
        <w:rPr>
          <w:sz w:val="18"/>
          <w:szCs w:val="18"/>
          <w:lang w:val="es-US"/>
        </w:rPr>
      </w:pPr>
      <w:r>
        <w:rPr>
          <w:sz w:val="18"/>
          <w:szCs w:val="18"/>
          <w:lang w:val="es-US"/>
        </w:rPr>
        <w:t>Los residuos deben eliminarse de acuerdo con las normas locales, estatales y federales aplicables.</w:t>
      </w:r>
    </w:p>
    <w:p>
      <w:pPr>
        <w:pStyle w:val="Heading2"/>
        <w:numPr>
          <w:ilvl w:val="0"/>
          <w:numId w:val="8"/>
        </w:numPr>
        <w:tabs>
          <w:tab w:val="left" w:pos="581"/>
          <w:tab w:val="left" w:pos="824"/>
        </w:tabs>
        <w:spacing w:before="63" w:line="340" w:lineRule="atLeast"/>
        <w:ind w:left="824" w:right="8178" w:hanging="570"/>
        <w:rPr>
          <w:sz w:val="18"/>
          <w:szCs w:val="18"/>
          <w:lang w:val="es-US"/>
        </w:rPr>
      </w:pPr>
      <w:r>
        <w:rPr>
          <w:sz w:val="18"/>
          <w:szCs w:val="18"/>
          <w:lang w:val="es-US"/>
        </w:rPr>
        <w:t>INFORMACIÓN DE TRANSPORTE DOT (EE. UU.)</w:t>
      </w:r>
    </w:p>
    <w:p>
      <w:pPr>
        <w:pStyle w:val="BodyText"/>
        <w:spacing w:before="2"/>
        <w:ind w:left="824"/>
        <w:rPr>
          <w:sz w:val="18"/>
          <w:szCs w:val="18"/>
          <w:lang w:val="es-US"/>
        </w:rPr>
      </w:pPr>
      <w:r>
        <w:rPr>
          <w:sz w:val="18"/>
          <w:szCs w:val="18"/>
          <w:lang w:val="es-US"/>
        </w:rPr>
        <w:t>No regulado.</w:t>
      </w:r>
    </w:p>
    <w:p>
      <w:pPr>
        <w:pStyle w:val="BodyText"/>
        <w:spacing w:before="4"/>
        <w:rPr>
          <w:sz w:val="18"/>
          <w:szCs w:val="18"/>
          <w:lang w:val="es-US"/>
        </w:rPr>
      </w:pPr>
    </w:p>
    <w:p>
      <w:pPr>
        <w:pStyle w:val="Heading2"/>
        <w:ind w:left="824" w:firstLine="0"/>
        <w:rPr>
          <w:sz w:val="18"/>
          <w:szCs w:val="18"/>
          <w:lang w:val="es-US"/>
        </w:rPr>
      </w:pPr>
      <w:r>
        <w:rPr>
          <w:sz w:val="18"/>
          <w:szCs w:val="18"/>
          <w:lang w:val="es-US"/>
        </w:rPr>
        <w:t>Código Marítimo Internacional de Mercancías Peligrosas (IMDG)</w:t>
      </w:r>
    </w:p>
    <w:p>
      <w:pPr>
        <w:pStyle w:val="BodyText"/>
        <w:spacing w:before="3"/>
        <w:ind w:left="824"/>
        <w:rPr>
          <w:sz w:val="18"/>
          <w:szCs w:val="18"/>
          <w:lang w:val="es-US"/>
        </w:rPr>
      </w:pPr>
      <w:r>
        <w:rPr>
          <w:sz w:val="18"/>
          <w:szCs w:val="18"/>
          <w:lang w:val="es-US"/>
        </w:rPr>
        <w:t>No regulado.</w:t>
      </w:r>
    </w:p>
    <w:p>
      <w:pPr>
        <w:pStyle w:val="Heading2"/>
        <w:spacing w:before="226"/>
        <w:ind w:left="824" w:firstLine="0"/>
        <w:rPr>
          <w:sz w:val="18"/>
          <w:szCs w:val="18"/>
          <w:lang w:val="es-US"/>
        </w:rPr>
      </w:pPr>
      <w:r>
        <w:rPr>
          <w:sz w:val="18"/>
          <w:szCs w:val="18"/>
          <w:lang w:val="es-US"/>
        </w:rPr>
        <w:t>Asociación Internacional de Transporte Aéreo (IATA)</w:t>
      </w:r>
    </w:p>
    <w:p>
      <w:pPr>
        <w:pStyle w:val="BodyText"/>
        <w:spacing w:before="3"/>
        <w:ind w:left="824"/>
        <w:rPr>
          <w:sz w:val="18"/>
          <w:szCs w:val="18"/>
          <w:lang w:val="es-US"/>
        </w:rPr>
      </w:pPr>
      <w:r>
        <w:rPr>
          <w:sz w:val="18"/>
          <w:szCs w:val="18"/>
          <w:lang w:val="es-US"/>
        </w:rPr>
        <w:t>No regulado.</w:t>
      </w:r>
    </w:p>
    <w:p>
      <w:pPr>
        <w:pStyle w:val="Heading2"/>
        <w:numPr>
          <w:ilvl w:val="0"/>
          <w:numId w:val="8"/>
        </w:numPr>
        <w:tabs>
          <w:tab w:val="left" w:pos="581"/>
        </w:tabs>
        <w:spacing w:before="180" w:line="226" w:lineRule="exact"/>
        <w:ind w:left="581" w:hanging="327"/>
        <w:rPr>
          <w:sz w:val="18"/>
          <w:szCs w:val="18"/>
          <w:lang w:val="es-US"/>
        </w:rPr>
      </w:pPr>
      <w:r>
        <w:rPr>
          <w:sz w:val="18"/>
          <w:szCs w:val="18"/>
          <w:lang w:val="es-US"/>
        </w:rPr>
        <w:t>INFORMACIÓN NORMATIVA</w:t>
      </w:r>
    </w:p>
    <w:p>
      <w:pPr>
        <w:spacing w:line="226" w:lineRule="exact"/>
        <w:ind w:left="644"/>
        <w:rPr>
          <w:b/>
          <w:sz w:val="18"/>
          <w:szCs w:val="20"/>
          <w:lang w:val="es-US"/>
        </w:rPr>
      </w:pPr>
      <w:r>
        <w:rPr>
          <w:b/>
          <w:bCs/>
          <w:sz w:val="18"/>
          <w:szCs w:val="18"/>
          <w:lang w:val="es-US"/>
        </w:rPr>
        <w:t>INFORME SARA 313:</w:t>
      </w:r>
    </w:p>
    <w:p>
      <w:pPr>
        <w:pStyle w:val="BodyText"/>
        <w:ind w:left="644" w:right="725"/>
        <w:rPr>
          <w:sz w:val="18"/>
          <w:szCs w:val="18"/>
          <w:lang w:val="es-US"/>
        </w:rPr>
      </w:pPr>
      <w:r>
        <w:rPr>
          <w:b/>
          <w:bCs/>
          <w:sz w:val="18"/>
          <w:szCs w:val="18"/>
          <w:lang w:val="es-US"/>
        </w:rPr>
        <w:lastRenderedPageBreak/>
        <w:t xml:space="preserve">Ley de Control de Sustancias Tóxicas (TSCA):  </w:t>
      </w:r>
      <w:r>
        <w:rPr>
          <w:sz w:val="18"/>
          <w:szCs w:val="18"/>
          <w:lang w:val="es-US"/>
        </w:rPr>
        <w:t>Todos los componentes de este producto se enumeran en el inventario de productos químicos de la Ley de Control de Sustancias Tóxicas (TSCA) de los EE. UU.</w:t>
      </w:r>
    </w:p>
    <w:p>
      <w:pPr>
        <w:pStyle w:val="Heading2"/>
        <w:spacing w:before="211"/>
        <w:ind w:left="608" w:firstLine="0"/>
        <w:rPr>
          <w:sz w:val="18"/>
          <w:szCs w:val="18"/>
          <w:lang w:val="es-US"/>
        </w:rPr>
      </w:pPr>
      <w:r>
        <w:rPr>
          <w:sz w:val="18"/>
          <w:szCs w:val="18"/>
          <w:u w:val="single"/>
          <w:lang w:val="es-US"/>
        </w:rPr>
        <w:t>SARA 311/312:</w:t>
      </w:r>
    </w:p>
    <w:p>
      <w:pPr>
        <w:pStyle w:val="BodyText"/>
        <w:tabs>
          <w:tab w:val="left" w:pos="2173"/>
          <w:tab w:val="left" w:pos="3493"/>
          <w:tab w:val="left" w:pos="6493"/>
          <w:tab w:val="left" w:pos="7108"/>
          <w:tab w:val="left" w:pos="8113"/>
        </w:tabs>
        <w:spacing w:before="2"/>
        <w:ind w:left="763"/>
        <w:rPr>
          <w:rFonts w:ascii="Calibri"/>
          <w:sz w:val="18"/>
          <w:szCs w:val="18"/>
          <w:lang w:val="es-US"/>
        </w:rPr>
      </w:pPr>
      <w:r>
        <w:rPr>
          <w:position w:val="1"/>
          <w:sz w:val="18"/>
          <w:szCs w:val="18"/>
          <w:lang w:val="es-US"/>
        </w:rPr>
        <w:t>Salud grave:</w:t>
      </w:r>
      <w:r>
        <w:rPr>
          <w:position w:val="1"/>
          <w:sz w:val="18"/>
          <w:szCs w:val="18"/>
          <w:lang w:val="es-US"/>
        </w:rPr>
        <w:tab/>
        <w:t>Sí</w:t>
      </w:r>
      <w:r>
        <w:rPr>
          <w:position w:val="1"/>
          <w:sz w:val="18"/>
          <w:szCs w:val="18"/>
          <w:lang w:val="es-US"/>
        </w:rPr>
        <w:tab/>
        <w:t>Salud crónico: Sí</w:t>
      </w:r>
      <w:r>
        <w:rPr>
          <w:position w:val="1"/>
          <w:sz w:val="18"/>
          <w:szCs w:val="18"/>
          <w:lang w:val="es-US"/>
        </w:rPr>
        <w:tab/>
        <w:t>Incendio:</w:t>
      </w:r>
      <w:r>
        <w:rPr>
          <w:position w:val="1"/>
          <w:sz w:val="18"/>
          <w:szCs w:val="18"/>
          <w:lang w:val="es-US"/>
        </w:rPr>
        <w:tab/>
        <w:t>No</w:t>
      </w:r>
      <w:r>
        <w:rPr>
          <w:position w:val="1"/>
          <w:sz w:val="18"/>
          <w:szCs w:val="18"/>
          <w:lang w:val="es-US"/>
        </w:rPr>
        <w:tab/>
        <w:t xml:space="preserve">Reactividad: </w:t>
      </w:r>
      <w:r>
        <w:rPr>
          <w:rFonts w:ascii="Calibri" w:eastAsia="Calibri" w:hAnsi="Calibri"/>
          <w:position w:val="1"/>
          <w:sz w:val="18"/>
          <w:szCs w:val="18"/>
          <w:lang w:val="es-US"/>
        </w:rPr>
        <w:t>No</w:t>
      </w:r>
    </w:p>
    <w:p>
      <w:pPr>
        <w:pStyle w:val="BodyText"/>
        <w:spacing w:before="9"/>
        <w:rPr>
          <w:rFonts w:ascii="Calibri"/>
          <w:sz w:val="18"/>
          <w:szCs w:val="18"/>
          <w:lang w:val="es-US"/>
        </w:rPr>
      </w:pPr>
    </w:p>
    <w:p>
      <w:pPr>
        <w:pStyle w:val="BodyText"/>
        <w:spacing w:line="232" w:lineRule="auto"/>
        <w:ind w:left="809" w:right="318" w:hanging="180"/>
        <w:rPr>
          <w:sz w:val="18"/>
          <w:szCs w:val="18"/>
          <w:lang w:val="es-US"/>
        </w:rPr>
      </w:pPr>
      <w:r>
        <w:rPr>
          <w:b/>
          <w:bCs/>
          <w:sz w:val="18"/>
          <w:szCs w:val="18"/>
          <w:u w:val="single"/>
          <w:lang w:val="es-US"/>
        </w:rPr>
        <w:t xml:space="preserve">CANTIDAD DE PLANIFICACIÓN DEL UMBRAL DE SARA DE EE. UU.: </w:t>
      </w:r>
      <w:r>
        <w:rPr>
          <w:sz w:val="18"/>
          <w:szCs w:val="18"/>
          <w:lang w:val="es-US"/>
        </w:rPr>
        <w:t>No hay cantidades de planificación de umbral específicas para este producto. Es posible que se aplique el umbral de presentación de requisitos de inventario y presentación de SDS federal predeterminado de 10,000 lb. (4,540 kg), según el Título 40 del CFR, Sección 370.20.</w:t>
      </w:r>
    </w:p>
    <w:p>
      <w:pPr>
        <w:spacing w:before="202"/>
        <w:ind w:left="629"/>
        <w:rPr>
          <w:sz w:val="18"/>
          <w:szCs w:val="20"/>
          <w:lang w:val="es-US"/>
        </w:rPr>
      </w:pPr>
      <w:r>
        <w:rPr>
          <w:b/>
          <w:bCs/>
          <w:sz w:val="18"/>
          <w:szCs w:val="18"/>
          <w:u w:val="single"/>
          <w:lang w:val="es-US"/>
        </w:rPr>
        <w:t>CANTIDAD REPORTABLE (RQ) DE CERCLA DE EE. UU.:</w:t>
      </w:r>
      <w:r>
        <w:rPr>
          <w:b/>
          <w:bCs/>
          <w:sz w:val="18"/>
          <w:szCs w:val="18"/>
          <w:lang w:val="es-US"/>
        </w:rPr>
        <w:t xml:space="preserve"> </w:t>
      </w:r>
      <w:r>
        <w:rPr>
          <w:sz w:val="18"/>
          <w:szCs w:val="18"/>
          <w:lang w:val="es-US"/>
        </w:rPr>
        <w:t>Ninguna conocida</w:t>
      </w:r>
    </w:p>
    <w:p>
      <w:pPr>
        <w:pStyle w:val="Heading2"/>
        <w:spacing w:before="203"/>
        <w:ind w:left="629" w:firstLine="0"/>
        <w:rPr>
          <w:sz w:val="18"/>
          <w:szCs w:val="18"/>
          <w:lang w:val="es-US"/>
        </w:rPr>
      </w:pPr>
      <w:r>
        <w:rPr>
          <w:sz w:val="18"/>
          <w:szCs w:val="18"/>
          <w:u w:val="single"/>
          <w:lang w:val="es-US"/>
        </w:rPr>
        <w:t>LEY DE APLICACIÓN DE AGUA POTABLE SEGURA Y MATERIALES TÓXICOS DE CALIFORNIA (PROPUESTA 65)</w:t>
      </w:r>
      <w:r>
        <w:rPr>
          <w:sz w:val="18"/>
          <w:szCs w:val="18"/>
          <w:lang w:val="es-US"/>
        </w:rPr>
        <w:t>:</w:t>
      </w:r>
    </w:p>
    <w:p>
      <w:pPr>
        <w:pStyle w:val="BodyText"/>
        <w:ind w:left="1025"/>
        <w:rPr>
          <w:sz w:val="18"/>
          <w:szCs w:val="18"/>
          <w:lang w:val="es-US"/>
        </w:rPr>
      </w:pPr>
      <w:r>
        <w:rPr>
          <w:sz w:val="18"/>
          <w:szCs w:val="18"/>
          <w:lang w:val="es-US"/>
        </w:rPr>
        <w:t>Ninguna conocida.</w:t>
      </w:r>
    </w:p>
    <w:p>
      <w:pPr>
        <w:pStyle w:val="Heading2"/>
        <w:spacing w:before="203" w:line="215" w:lineRule="exact"/>
        <w:ind w:left="464" w:firstLine="0"/>
        <w:rPr>
          <w:sz w:val="18"/>
          <w:szCs w:val="18"/>
          <w:lang w:val="es-US"/>
        </w:rPr>
      </w:pPr>
      <w:r>
        <w:rPr>
          <w:sz w:val="18"/>
          <w:szCs w:val="18"/>
          <w:u w:val="single"/>
          <w:lang w:val="es-US"/>
        </w:rPr>
        <w:t>INVENTARIOS QUÍMICOS INTERNACIONALES:</w:t>
      </w:r>
    </w:p>
    <w:p>
      <w:pPr>
        <w:pStyle w:val="BodyText"/>
        <w:tabs>
          <w:tab w:val="left" w:pos="7378"/>
        </w:tabs>
        <w:spacing w:line="232" w:lineRule="auto"/>
        <w:ind w:left="809" w:right="3545" w:hanging="180"/>
        <w:rPr>
          <w:sz w:val="18"/>
          <w:szCs w:val="18"/>
          <w:lang w:val="es-US"/>
        </w:rPr>
      </w:pPr>
      <w:r>
        <w:rPr>
          <w:sz w:val="18"/>
          <w:szCs w:val="18"/>
          <w:lang w:val="es-US"/>
        </w:rPr>
        <w:t>La lista de los componentes en los inventarios químicos de cada país es la siguiente: Asia Pacífico:</w:t>
      </w:r>
      <w:r>
        <w:rPr>
          <w:sz w:val="18"/>
          <w:szCs w:val="18"/>
          <w:lang w:val="es-US"/>
        </w:rPr>
        <w:tab/>
        <w:t>Indicado</w:t>
      </w:r>
    </w:p>
    <w:p>
      <w:pPr>
        <w:pStyle w:val="BodyText"/>
        <w:tabs>
          <w:tab w:val="left" w:pos="7378"/>
        </w:tabs>
        <w:spacing w:line="225" w:lineRule="exact"/>
        <w:ind w:left="809"/>
        <w:rPr>
          <w:sz w:val="18"/>
          <w:szCs w:val="18"/>
          <w:lang w:val="es-US"/>
        </w:rPr>
      </w:pPr>
      <w:r>
        <w:rPr>
          <w:sz w:val="18"/>
          <w:szCs w:val="18"/>
          <w:lang w:val="es-US"/>
        </w:rPr>
        <w:t>Inventario australiano de sustancias químicas (AICS):</w:t>
      </w:r>
      <w:r>
        <w:rPr>
          <w:sz w:val="18"/>
          <w:szCs w:val="18"/>
          <w:lang w:val="es-US"/>
        </w:rPr>
        <w:tab/>
        <w:t>Indicado</w:t>
      </w:r>
    </w:p>
    <w:p>
      <w:pPr>
        <w:pStyle w:val="BodyText"/>
        <w:tabs>
          <w:tab w:val="left" w:pos="7378"/>
        </w:tabs>
        <w:spacing w:line="227" w:lineRule="exact"/>
        <w:ind w:left="809"/>
        <w:rPr>
          <w:sz w:val="18"/>
          <w:szCs w:val="18"/>
          <w:lang w:val="es-US"/>
        </w:rPr>
      </w:pPr>
      <w:r>
        <w:rPr>
          <w:sz w:val="18"/>
          <w:szCs w:val="18"/>
          <w:lang w:val="es-US"/>
        </w:rPr>
        <w:t>Lista Coreana de Sustancias Químicas Existentes (ECL):</w:t>
      </w:r>
      <w:r>
        <w:rPr>
          <w:sz w:val="18"/>
          <w:szCs w:val="18"/>
          <w:lang w:val="es-US"/>
        </w:rPr>
        <w:tab/>
        <w:t>Indicado</w:t>
      </w:r>
    </w:p>
    <w:p>
      <w:pPr>
        <w:spacing w:line="227" w:lineRule="exact"/>
        <w:rPr>
          <w:sz w:val="20"/>
          <w:szCs w:val="20"/>
          <w:lang w:val="es-US"/>
        </w:rPr>
        <w:sectPr>
          <w:pgSz w:w="12240" w:h="15840"/>
          <w:pgMar w:top="1440" w:right="280" w:bottom="1200" w:left="500" w:header="135" w:footer="1002" w:gutter="0"/>
          <w:cols w:space="720"/>
        </w:sectPr>
      </w:pPr>
    </w:p>
    <w:p>
      <w:pPr>
        <w:pStyle w:val="BodyText"/>
        <w:spacing w:line="208" w:lineRule="auto"/>
        <w:ind w:left="809" w:right="38"/>
        <w:rPr>
          <w:sz w:val="18"/>
          <w:szCs w:val="18"/>
          <w:lang w:val="es-US"/>
        </w:rPr>
      </w:pPr>
      <w:r>
        <w:rPr>
          <w:sz w:val="18"/>
          <w:szCs w:val="18"/>
          <w:lang w:val="es-US"/>
        </w:rPr>
        <w:t>Inventario Japonés de Sustancias Químicas Nuevas y Existentes (ENCS):</w:t>
      </w:r>
    </w:p>
    <w:p>
      <w:pPr>
        <w:pStyle w:val="BodyText"/>
        <w:spacing w:line="216" w:lineRule="exact"/>
        <w:ind w:left="809"/>
        <w:rPr>
          <w:sz w:val="18"/>
          <w:szCs w:val="18"/>
          <w:lang w:val="es-US"/>
        </w:rPr>
      </w:pPr>
      <w:r>
        <w:rPr>
          <w:sz w:val="18"/>
          <w:szCs w:val="18"/>
          <w:lang w:val="es-US"/>
        </w:rPr>
        <w:br w:type="column"/>
      </w:r>
      <w:r>
        <w:rPr>
          <w:sz w:val="18"/>
          <w:szCs w:val="18"/>
          <w:lang w:val="es-US"/>
        </w:rPr>
        <w:t>Indicado</w:t>
      </w:r>
    </w:p>
    <w:p>
      <w:pPr>
        <w:spacing w:line="216" w:lineRule="exact"/>
        <w:rPr>
          <w:sz w:val="20"/>
          <w:szCs w:val="20"/>
          <w:lang w:val="es-US"/>
        </w:rPr>
        <w:sectPr>
          <w:type w:val="continuous"/>
          <w:pgSz w:w="12240" w:h="15840"/>
          <w:pgMar w:top="1440" w:right="280" w:bottom="1200" w:left="500" w:header="135" w:footer="1002" w:gutter="0"/>
          <w:cols w:num="2" w:space="720" w:equalWidth="0">
            <w:col w:w="6350" w:space="220"/>
            <w:col w:w="4890" w:space="0"/>
          </w:cols>
        </w:sectPr>
      </w:pPr>
    </w:p>
    <w:p>
      <w:pPr>
        <w:pStyle w:val="BodyText"/>
        <w:tabs>
          <w:tab w:val="left" w:pos="7378"/>
        </w:tabs>
        <w:spacing w:line="215" w:lineRule="exact"/>
        <w:ind w:left="809"/>
        <w:rPr>
          <w:sz w:val="18"/>
          <w:szCs w:val="18"/>
          <w:lang w:val="es-US"/>
        </w:rPr>
      </w:pPr>
      <w:r>
        <w:rPr>
          <w:sz w:val="18"/>
          <w:szCs w:val="18"/>
          <w:lang w:val="es-US"/>
        </w:rPr>
        <w:lastRenderedPageBreak/>
        <w:t>Inventario de productos químicos y sustancias químicas de Filipinas (PICCS):</w:t>
      </w:r>
      <w:r>
        <w:rPr>
          <w:sz w:val="18"/>
          <w:szCs w:val="18"/>
          <w:lang w:val="es-US"/>
        </w:rPr>
        <w:tab/>
        <w:t>Indicado</w:t>
      </w:r>
    </w:p>
    <w:p>
      <w:pPr>
        <w:pStyle w:val="BodyText"/>
        <w:spacing w:before="3"/>
        <w:rPr>
          <w:sz w:val="18"/>
          <w:szCs w:val="18"/>
          <w:lang w:val="es-US"/>
        </w:rPr>
      </w:pPr>
    </w:p>
    <w:p>
      <w:pPr>
        <w:pStyle w:val="BodyText"/>
        <w:tabs>
          <w:tab w:val="left" w:pos="7378"/>
        </w:tabs>
        <w:ind w:left="809"/>
        <w:rPr>
          <w:sz w:val="18"/>
          <w:szCs w:val="18"/>
          <w:lang w:val="es-US"/>
        </w:rPr>
      </w:pPr>
      <w:r>
        <w:rPr>
          <w:sz w:val="18"/>
          <w:szCs w:val="18"/>
          <w:lang w:val="es-US"/>
        </w:rPr>
        <w:t>TSCA de los EE. UU.:</w:t>
      </w:r>
      <w:r>
        <w:rPr>
          <w:sz w:val="18"/>
          <w:szCs w:val="18"/>
          <w:lang w:val="es-US"/>
        </w:rPr>
        <w:tab/>
        <w:t>Indicado</w:t>
      </w:r>
    </w:p>
    <w:p>
      <w:pPr>
        <w:pStyle w:val="BodyText"/>
        <w:spacing w:before="5"/>
        <w:rPr>
          <w:sz w:val="4"/>
          <w:szCs w:val="18"/>
          <w:lang w:val="es-US"/>
        </w:rPr>
      </w:pPr>
      <w:r>
        <w:rPr>
          <w:noProof/>
          <w:sz w:val="18"/>
          <w:szCs w:val="18"/>
          <w:lang w:val="es-US"/>
        </w:rPr>
        <mc:AlternateContent>
          <mc:Choice Requires="wps">
            <w:drawing>
              <wp:anchor distT="0" distB="0" distL="0" distR="0" simplePos="0" relativeHeight="251661312" behindDoc="1" locked="0" layoutInCell="1" allowOverlap="1">
                <wp:simplePos x="0" y="0"/>
                <wp:positionH relativeFrom="page">
                  <wp:posOffset>546100</wp:posOffset>
                </wp:positionH>
                <wp:positionV relativeFrom="paragraph">
                  <wp:posOffset>62608</wp:posOffset>
                </wp:positionV>
                <wp:extent cx="6858000" cy="1270"/>
                <wp:effectExtent l="0" t="0" r="0" b="0"/>
                <wp:wrapTopAndBottom/>
                <wp:docPr id="10" name="Graphic 10"/>
                <wp:cNvGraphicFramePr/>
                <a:graphic xmlns:a="http://schemas.openxmlformats.org/drawingml/2006/main">
                  <a:graphicData uri="http://schemas.microsoft.com/office/word/2010/wordprocessingShape">
                    <wps:wsp>
                      <wps:cNvSpPr/>
                      <wps:spPr>
                        <a:xfrm>
                          <a:off x="0" y="0"/>
                          <a:ext cx="6858000" cy="1270"/>
                        </a:xfrm>
                        <a:custGeom>
                          <a:avLst/>
                          <a:gdLst/>
                          <a:ahLst/>
                          <a:cxnLst/>
                          <a:rect l="l" t="t" r="r" b="b"/>
                          <a:pathLst>
                            <a:path w="6858000">
                              <a:moveTo>
                                <a:pt x="0" y="0"/>
                              </a:moveTo>
                              <a:lnTo>
                                <a:pt x="6857999" y="0"/>
                              </a:lnTo>
                            </a:path>
                          </a:pathLst>
                        </a:custGeom>
                        <a:ln w="25400">
                          <a:solidFill>
                            <a:srgbClr val="000000"/>
                          </a:solidFill>
                          <a:prstDash val="solid"/>
                        </a:ln>
                      </wps:spPr>
                      <wps:bodyPr wrap="square" lIns="0" tIns="0" rIns="0" bIns="0" rtlCol="0">
                        <a:prstTxWarp prst="textNoShape">
                          <a:avLst/>
                        </a:prstTxWarp>
                      </wps:bodyPr>
                    </wps:wsp>
                  </a:graphicData>
                </a:graphic>
              </wp:anchor>
            </w:drawing>
          </mc:Choice>
          <mc:Fallback>
            <w:pict>
              <v:shape id="Graphic 10" o:spid="_x0000_s1026" style="position:absolute;margin-left:43pt;margin-top:4.95pt;width:540pt;height:.1pt;z-index:-251655168;visibility:visible;mso-wrap-style:square;mso-wrap-distance-left:0;mso-wrap-distance-top:0;mso-wrap-distance-right:0;mso-wrap-distance-bottom:0;mso-position-horizontal:absolute;mso-position-horizontal-relative:page;mso-position-vertical:absolute;mso-position-vertical-relative:text;v-text-anchor:top" coordsize="6858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" path="m,l6857999,e" filled="f" strokeweight="2pt">
                <v:path arrowok="t"/>
                <w10:wrap type="topAndBottom" anchorx="page"/>
              </v:shape>
            </w:pict>
          </mc:Fallback>
        </mc:AlternateContent>
      </w:r>
    </w:p>
    <w:p>
      <w:pPr>
        <w:pStyle w:val="BodyText"/>
        <w:spacing w:before="35"/>
        <w:rPr>
          <w:sz w:val="18"/>
          <w:szCs w:val="18"/>
          <w:lang w:val="es-US"/>
        </w:rPr>
      </w:pPr>
    </w:p>
    <w:p>
      <w:pPr>
        <w:pStyle w:val="Heading2"/>
        <w:numPr>
          <w:ilvl w:val="0"/>
          <w:numId w:val="8"/>
        </w:numPr>
        <w:tabs>
          <w:tab w:val="left" w:pos="581"/>
        </w:tabs>
        <w:ind w:left="581" w:hanging="327"/>
        <w:rPr>
          <w:sz w:val="18"/>
          <w:szCs w:val="18"/>
          <w:lang w:val="es-US"/>
        </w:rPr>
      </w:pPr>
      <w:r>
        <w:rPr>
          <w:sz w:val="18"/>
          <w:szCs w:val="18"/>
          <w:lang w:val="es-US"/>
        </w:rPr>
        <w:t>OTRA INFORMACIÓN</w:t>
      </w:r>
    </w:p>
    <w:p>
      <w:pPr>
        <w:pStyle w:val="BodyText"/>
        <w:spacing w:before="1" w:after="1"/>
        <w:rPr>
          <w:b/>
          <w:sz w:val="8"/>
          <w:szCs w:val="18"/>
          <w:lang w:val="es-US"/>
        </w:rPr>
      </w:pPr>
    </w:p>
    <w:tbl>
      <w:tblPr>
        <w:tblStyle w:val="TableNormal1"/>
        <w:tblW w:w="0" w:type="auto"/>
        <w:tblInd w:w="781" w:type="dxa"/>
        <w:tblLayout w:type="fixed"/>
        <w:tblLook w:val="01E0" w:firstRow="1" w:lastRow="1" w:firstColumn="1" w:lastColumn="1" w:noHBand="0" w:noVBand="0"/>
      </w:tblPr>
      <w:tblGrid>
        <w:gridCol w:w="2326"/>
        <w:gridCol w:w="370"/>
      </w:tblGrid>
      <w:tr>
        <w:trPr>
          <w:trHeight w:val="227"/>
        </w:trPr>
        <w:tc>
          <w:tcPr>
            <w:tcW w:w="2326" w:type="dxa"/>
          </w:tcPr>
          <w:p>
            <w:pPr>
              <w:pStyle w:val="TableParagraph"/>
              <w:spacing w:line="207" w:lineRule="exact"/>
              <w:rPr>
                <w:b/>
                <w:sz w:val="18"/>
                <w:szCs w:val="20"/>
                <w:lang w:val="es-US"/>
              </w:rPr>
            </w:pPr>
            <w:r>
              <w:rPr>
                <w:b/>
                <w:bCs/>
                <w:sz w:val="18"/>
                <w:szCs w:val="18"/>
                <w:lang w:val="es-US"/>
              </w:rPr>
              <w:t>Clasificación del Sistema de Información de Materiales Peligrosos (HMIS)</w:t>
            </w:r>
          </w:p>
        </w:tc>
        <w:tc>
          <w:tcPr>
            <w:tcW w:w="370" w:type="dxa"/>
          </w:tcPr>
          <w:p>
            <w:pPr>
              <w:pStyle w:val="TableParagraph"/>
              <w:ind w:left="0"/>
              <w:rPr>
                <w:rFonts w:ascii="Times New Roman"/>
                <w:sz w:val="14"/>
                <w:szCs w:val="20"/>
                <w:lang w:val="es-US"/>
              </w:rPr>
            </w:pPr>
          </w:p>
        </w:tc>
      </w:tr>
      <w:tr>
        <w:trPr>
          <w:trHeight w:val="227"/>
        </w:trPr>
        <w:tc>
          <w:tcPr>
            <w:tcW w:w="2326" w:type="dxa"/>
          </w:tcPr>
          <w:p>
            <w:pPr>
              <w:pStyle w:val="TableParagraph"/>
              <w:spacing w:line="207" w:lineRule="exact"/>
              <w:rPr>
                <w:sz w:val="18"/>
                <w:szCs w:val="20"/>
                <w:lang w:val="es-US"/>
              </w:rPr>
            </w:pPr>
            <w:r>
              <w:rPr>
                <w:sz w:val="18"/>
                <w:szCs w:val="18"/>
                <w:lang w:val="es-US"/>
              </w:rPr>
              <w:t>Riesgos para la salud:</w:t>
            </w:r>
          </w:p>
        </w:tc>
        <w:tc>
          <w:tcPr>
            <w:tcW w:w="370" w:type="dxa"/>
          </w:tcPr>
          <w:p>
            <w:pPr>
              <w:pStyle w:val="TableParagraph"/>
              <w:spacing w:line="207" w:lineRule="exact"/>
              <w:ind w:left="165" w:right="26"/>
              <w:jc w:val="center"/>
              <w:rPr>
                <w:sz w:val="18"/>
                <w:szCs w:val="20"/>
                <w:lang w:val="es-US"/>
              </w:rPr>
            </w:pPr>
            <w:r>
              <w:rPr>
                <w:sz w:val="18"/>
                <w:szCs w:val="18"/>
                <w:lang w:val="es-US"/>
              </w:rPr>
              <w:t>2</w:t>
            </w:r>
          </w:p>
        </w:tc>
      </w:tr>
      <w:tr>
        <w:trPr>
          <w:trHeight w:val="226"/>
        </w:trPr>
        <w:tc>
          <w:tcPr>
            <w:tcW w:w="2326" w:type="dxa"/>
          </w:tcPr>
          <w:p>
            <w:pPr>
              <w:pStyle w:val="TableParagraph"/>
              <w:spacing w:line="206" w:lineRule="exact"/>
              <w:rPr>
                <w:sz w:val="18"/>
                <w:szCs w:val="20"/>
                <w:lang w:val="es-US"/>
              </w:rPr>
            </w:pPr>
            <w:r>
              <w:rPr>
                <w:sz w:val="18"/>
                <w:szCs w:val="18"/>
                <w:lang w:val="es-US"/>
              </w:rPr>
              <w:t>Riesgos crónicos para la salud:</w:t>
            </w:r>
          </w:p>
        </w:tc>
        <w:tc>
          <w:tcPr>
            <w:tcW w:w="370" w:type="dxa"/>
          </w:tcPr>
          <w:p>
            <w:pPr>
              <w:pStyle w:val="TableParagraph"/>
              <w:spacing w:before="3" w:line="203" w:lineRule="exact"/>
              <w:ind w:left="165"/>
              <w:jc w:val="center"/>
              <w:rPr>
                <w:sz w:val="18"/>
                <w:szCs w:val="20"/>
                <w:lang w:val="es-US"/>
              </w:rPr>
            </w:pPr>
            <w:r>
              <w:rPr>
                <w:sz w:val="18"/>
                <w:szCs w:val="18"/>
                <w:lang w:val="es-US"/>
              </w:rPr>
              <w:t>0</w:t>
            </w:r>
          </w:p>
        </w:tc>
      </w:tr>
      <w:tr>
        <w:trPr>
          <w:trHeight w:val="232"/>
        </w:trPr>
        <w:tc>
          <w:tcPr>
            <w:tcW w:w="2326" w:type="dxa"/>
          </w:tcPr>
          <w:p>
            <w:pPr>
              <w:pStyle w:val="TableParagraph"/>
              <w:spacing w:line="212" w:lineRule="exact"/>
              <w:rPr>
                <w:sz w:val="18"/>
                <w:szCs w:val="20"/>
                <w:lang w:val="es-US"/>
              </w:rPr>
            </w:pPr>
            <w:r>
              <w:rPr>
                <w:sz w:val="18"/>
                <w:szCs w:val="18"/>
                <w:lang w:val="es-US"/>
              </w:rPr>
              <w:t>Inflamabilidad:</w:t>
            </w:r>
          </w:p>
        </w:tc>
        <w:tc>
          <w:tcPr>
            <w:tcW w:w="370" w:type="dxa"/>
          </w:tcPr>
          <w:p>
            <w:pPr>
              <w:pStyle w:val="TableParagraph"/>
              <w:spacing w:line="212" w:lineRule="exact"/>
              <w:ind w:left="165" w:right="26"/>
              <w:jc w:val="center"/>
              <w:rPr>
                <w:sz w:val="18"/>
                <w:szCs w:val="20"/>
                <w:lang w:val="es-US"/>
              </w:rPr>
            </w:pPr>
            <w:r>
              <w:rPr>
                <w:sz w:val="18"/>
                <w:szCs w:val="18"/>
                <w:lang w:val="es-US"/>
              </w:rPr>
              <w:t>0</w:t>
            </w:r>
          </w:p>
        </w:tc>
      </w:tr>
      <w:tr>
        <w:trPr>
          <w:trHeight w:val="291"/>
        </w:trPr>
        <w:tc>
          <w:tcPr>
            <w:tcW w:w="2326" w:type="dxa"/>
          </w:tcPr>
          <w:p>
            <w:pPr>
              <w:pStyle w:val="TableParagraph"/>
              <w:spacing w:line="228" w:lineRule="exact"/>
              <w:rPr>
                <w:sz w:val="18"/>
                <w:szCs w:val="20"/>
                <w:lang w:val="es-US"/>
              </w:rPr>
            </w:pPr>
            <w:r>
              <w:rPr>
                <w:sz w:val="18"/>
                <w:szCs w:val="18"/>
                <w:lang w:val="es-US"/>
              </w:rPr>
              <w:t>Riesgo físico</w:t>
            </w:r>
          </w:p>
        </w:tc>
        <w:tc>
          <w:tcPr>
            <w:tcW w:w="370" w:type="dxa"/>
          </w:tcPr>
          <w:p>
            <w:pPr>
              <w:pStyle w:val="TableParagraph"/>
              <w:spacing w:line="228" w:lineRule="exact"/>
              <w:ind w:left="165" w:right="9"/>
              <w:jc w:val="center"/>
              <w:rPr>
                <w:sz w:val="18"/>
                <w:szCs w:val="20"/>
                <w:lang w:val="es-US"/>
              </w:rPr>
            </w:pPr>
            <w:r>
              <w:rPr>
                <w:sz w:val="18"/>
                <w:szCs w:val="18"/>
                <w:lang w:val="es-US"/>
              </w:rPr>
              <w:t>0</w:t>
            </w:r>
          </w:p>
        </w:tc>
      </w:tr>
      <w:tr>
        <w:trPr>
          <w:trHeight w:val="291"/>
        </w:trPr>
        <w:tc>
          <w:tcPr>
            <w:tcW w:w="2326" w:type="dxa"/>
          </w:tcPr>
          <w:p>
            <w:pPr>
              <w:pStyle w:val="TableParagraph"/>
              <w:spacing w:before="56" w:line="215" w:lineRule="exact"/>
              <w:rPr>
                <w:b/>
                <w:sz w:val="18"/>
                <w:szCs w:val="20"/>
                <w:lang w:val="es-US"/>
              </w:rPr>
            </w:pPr>
            <w:r>
              <w:rPr>
                <w:b/>
                <w:bCs/>
                <w:sz w:val="18"/>
                <w:szCs w:val="18"/>
                <w:lang w:val="es-US"/>
              </w:rPr>
              <w:t>Clasificación de la Asociación Nacional para la Prevención de Incendios (NFPA)</w:t>
            </w:r>
          </w:p>
        </w:tc>
        <w:tc>
          <w:tcPr>
            <w:tcW w:w="370" w:type="dxa"/>
          </w:tcPr>
          <w:p>
            <w:pPr>
              <w:pStyle w:val="TableParagraph"/>
              <w:ind w:left="0"/>
              <w:rPr>
                <w:rFonts w:ascii="Times New Roman"/>
                <w:sz w:val="18"/>
                <w:szCs w:val="20"/>
                <w:lang w:val="es-US"/>
              </w:rPr>
            </w:pPr>
          </w:p>
        </w:tc>
      </w:tr>
      <w:tr>
        <w:trPr>
          <w:trHeight w:val="230"/>
        </w:trPr>
        <w:tc>
          <w:tcPr>
            <w:tcW w:w="2326" w:type="dxa"/>
          </w:tcPr>
          <w:p>
            <w:pPr>
              <w:pStyle w:val="TableParagraph"/>
              <w:spacing w:line="210" w:lineRule="exact"/>
              <w:rPr>
                <w:sz w:val="18"/>
                <w:szCs w:val="20"/>
                <w:lang w:val="es-US"/>
              </w:rPr>
            </w:pPr>
            <w:r>
              <w:rPr>
                <w:sz w:val="18"/>
                <w:szCs w:val="18"/>
                <w:lang w:val="es-US"/>
              </w:rPr>
              <w:t>Riesgos para la salud:</w:t>
            </w:r>
          </w:p>
        </w:tc>
        <w:tc>
          <w:tcPr>
            <w:tcW w:w="370" w:type="dxa"/>
          </w:tcPr>
          <w:p>
            <w:pPr>
              <w:pStyle w:val="TableParagraph"/>
              <w:spacing w:line="210" w:lineRule="exact"/>
              <w:ind w:left="165" w:right="9"/>
              <w:jc w:val="center"/>
              <w:rPr>
                <w:sz w:val="18"/>
                <w:szCs w:val="20"/>
                <w:lang w:val="es-US"/>
              </w:rPr>
            </w:pPr>
            <w:r>
              <w:rPr>
                <w:sz w:val="18"/>
                <w:szCs w:val="18"/>
                <w:lang w:val="es-US"/>
              </w:rPr>
              <w:t>2</w:t>
            </w:r>
          </w:p>
        </w:tc>
      </w:tr>
      <w:tr>
        <w:trPr>
          <w:trHeight w:val="226"/>
        </w:trPr>
        <w:tc>
          <w:tcPr>
            <w:tcW w:w="2326" w:type="dxa"/>
          </w:tcPr>
          <w:p>
            <w:pPr>
              <w:pStyle w:val="TableParagraph"/>
              <w:spacing w:line="206" w:lineRule="exact"/>
              <w:rPr>
                <w:sz w:val="18"/>
                <w:szCs w:val="20"/>
                <w:lang w:val="es-US"/>
              </w:rPr>
            </w:pPr>
            <w:r>
              <w:rPr>
                <w:sz w:val="18"/>
                <w:szCs w:val="18"/>
                <w:lang w:val="es-US"/>
              </w:rPr>
              <w:t xml:space="preserve">Riesgo de incendio: </w:t>
            </w:r>
          </w:p>
        </w:tc>
        <w:tc>
          <w:tcPr>
            <w:tcW w:w="370" w:type="dxa"/>
          </w:tcPr>
          <w:p>
            <w:pPr>
              <w:pStyle w:val="TableParagraph"/>
              <w:spacing w:line="206" w:lineRule="exact"/>
              <w:ind w:left="165" w:right="9"/>
              <w:jc w:val="center"/>
              <w:rPr>
                <w:sz w:val="18"/>
                <w:szCs w:val="20"/>
                <w:lang w:val="es-US"/>
              </w:rPr>
            </w:pPr>
            <w:r>
              <w:rPr>
                <w:sz w:val="18"/>
                <w:szCs w:val="18"/>
                <w:lang w:val="es-US"/>
              </w:rPr>
              <w:t>0</w:t>
            </w:r>
          </w:p>
        </w:tc>
      </w:tr>
      <w:tr>
        <w:trPr>
          <w:trHeight w:val="224"/>
        </w:trPr>
        <w:tc>
          <w:tcPr>
            <w:tcW w:w="2326" w:type="dxa"/>
          </w:tcPr>
          <w:p>
            <w:pPr>
              <w:pStyle w:val="TableParagraph"/>
              <w:spacing w:line="204" w:lineRule="exact"/>
              <w:rPr>
                <w:sz w:val="18"/>
                <w:szCs w:val="20"/>
                <w:lang w:val="es-US"/>
              </w:rPr>
            </w:pPr>
            <w:r>
              <w:rPr>
                <w:sz w:val="18"/>
                <w:szCs w:val="18"/>
                <w:lang w:val="es-US"/>
              </w:rPr>
              <w:t>Peligro de reactividad:</w:t>
            </w:r>
          </w:p>
        </w:tc>
        <w:tc>
          <w:tcPr>
            <w:tcW w:w="370" w:type="dxa"/>
          </w:tcPr>
          <w:p>
            <w:pPr>
              <w:pStyle w:val="TableParagraph"/>
              <w:spacing w:line="204" w:lineRule="exact"/>
              <w:ind w:left="165" w:right="9"/>
              <w:jc w:val="center"/>
              <w:rPr>
                <w:sz w:val="18"/>
                <w:szCs w:val="20"/>
                <w:lang w:val="es-US"/>
              </w:rPr>
            </w:pPr>
            <w:r>
              <w:rPr>
                <w:sz w:val="18"/>
                <w:szCs w:val="18"/>
                <w:lang w:val="es-US"/>
              </w:rPr>
              <w:t>0</w:t>
            </w:r>
          </w:p>
        </w:tc>
      </w:tr>
    </w:tbl>
    <w:p>
      <w:pPr>
        <w:pStyle w:val="BodyText"/>
        <w:rPr>
          <w:b/>
          <w:sz w:val="18"/>
          <w:szCs w:val="18"/>
          <w:lang w:val="es-US"/>
        </w:rPr>
      </w:pPr>
    </w:p>
    <w:p>
      <w:pPr>
        <w:pStyle w:val="BodyText"/>
        <w:spacing w:before="112"/>
        <w:rPr>
          <w:b/>
          <w:sz w:val="18"/>
          <w:szCs w:val="18"/>
          <w:lang w:val="es-US"/>
        </w:rPr>
      </w:pPr>
    </w:p>
    <w:p>
      <w:pPr>
        <w:ind w:left="974"/>
        <w:rPr>
          <w:b/>
          <w:sz w:val="18"/>
          <w:szCs w:val="20"/>
          <w:lang w:val="es-US"/>
        </w:rPr>
      </w:pPr>
      <w:r>
        <w:rPr>
          <w:b/>
          <w:bCs/>
          <w:sz w:val="18"/>
          <w:szCs w:val="18"/>
          <w:lang w:val="es-US"/>
        </w:rPr>
        <w:t>COMENTARIOS ADICIONALES:</w:t>
      </w:r>
    </w:p>
    <w:p>
      <w:pPr>
        <w:pStyle w:val="BodyText"/>
        <w:ind w:left="1559"/>
        <w:rPr>
          <w:sz w:val="18"/>
          <w:szCs w:val="18"/>
          <w:lang w:val="es-US"/>
        </w:rPr>
      </w:pPr>
      <w:r>
        <w:rPr>
          <w:sz w:val="18"/>
          <w:szCs w:val="18"/>
          <w:lang w:val="es-US"/>
        </w:rPr>
        <w:t>Ninguno.</w:t>
      </w:r>
    </w:p>
    <w:p>
      <w:pPr>
        <w:rPr>
          <w:sz w:val="20"/>
          <w:szCs w:val="20"/>
          <w:lang w:val="es-US"/>
        </w:rPr>
      </w:pPr>
    </w:p>
    <w:p>
      <w:pPr>
        <w:pStyle w:val="Heading2"/>
        <w:ind w:left="974" w:firstLine="0"/>
        <w:rPr>
          <w:sz w:val="18"/>
          <w:szCs w:val="18"/>
          <w:lang w:val="es-US"/>
        </w:rPr>
      </w:pPr>
      <w:r>
        <w:rPr>
          <w:sz w:val="18"/>
          <w:szCs w:val="18"/>
          <w:lang w:val="es-US"/>
        </w:rPr>
        <w:t>FECHA DE LA SDS ANTERIOR:</w:t>
      </w:r>
    </w:p>
    <w:p>
      <w:pPr>
        <w:pStyle w:val="BodyText"/>
        <w:ind w:left="1559"/>
        <w:rPr>
          <w:sz w:val="18"/>
          <w:szCs w:val="18"/>
          <w:lang w:val="es-US"/>
        </w:rPr>
      </w:pPr>
      <w:r>
        <w:rPr>
          <w:sz w:val="18"/>
          <w:szCs w:val="18"/>
          <w:lang w:val="es-US"/>
        </w:rPr>
        <w:t>Febrero de 2024</w:t>
      </w:r>
    </w:p>
    <w:p>
      <w:pPr>
        <w:pStyle w:val="BodyText"/>
        <w:spacing w:before="38"/>
        <w:rPr>
          <w:sz w:val="18"/>
          <w:szCs w:val="18"/>
          <w:lang w:val="es-US"/>
        </w:rPr>
      </w:pPr>
    </w:p>
    <w:p>
      <w:pPr>
        <w:pStyle w:val="Heading2"/>
        <w:spacing w:before="1"/>
        <w:ind w:left="974" w:firstLine="0"/>
        <w:rPr>
          <w:sz w:val="18"/>
          <w:szCs w:val="18"/>
          <w:lang w:val="es-US"/>
        </w:rPr>
      </w:pPr>
      <w:r>
        <w:rPr>
          <w:sz w:val="18"/>
          <w:szCs w:val="18"/>
          <w:lang w:val="es-US"/>
        </w:rPr>
        <w:t>CAMBIOS DESDE LA SDS ANTERIOR:</w:t>
      </w:r>
    </w:p>
    <w:p>
      <w:pPr>
        <w:pStyle w:val="BodyText"/>
        <w:ind w:left="1559"/>
        <w:rPr>
          <w:sz w:val="18"/>
          <w:szCs w:val="18"/>
          <w:lang w:val="es-US"/>
        </w:rPr>
      </w:pPr>
      <w:r>
        <w:rPr>
          <w:sz w:val="18"/>
          <w:szCs w:val="18"/>
          <w:lang w:val="es-US"/>
        </w:rPr>
        <w:t>Actualizaciones a las Secciones 2, 3 y 8.</w:t>
      </w:r>
    </w:p>
    <w:p>
      <w:pPr>
        <w:spacing w:before="118"/>
        <w:ind w:left="824" w:right="401"/>
        <w:rPr>
          <w:b/>
          <w:sz w:val="18"/>
          <w:szCs w:val="20"/>
          <w:lang w:val="es-US"/>
        </w:rPr>
      </w:pPr>
      <w:r>
        <w:rPr>
          <w:b/>
          <w:bCs/>
          <w:sz w:val="18"/>
          <w:szCs w:val="18"/>
          <w:lang w:val="es-US"/>
        </w:rPr>
        <w:t>Esta información hace referencia al material específico designado y puede no ser válida para dicho material cuando se utiliza en combinación con cualquier otro material o proceso. A nuestro leal saber y entender, esa información es precisa y confiable a la fecha en que fue recopilada. No obstante, no se ofrece ninguna declaración ni garantía, expresa o implícita, en cuanto a su precisión, confiabilidad o integridad. El usuario tiene la responsabilidad de garantizar la idoneidad e integridad de dicha información para su uso particular. La empresa no asume ninguna responsabilidad por pérdidas o daños que puedan ocurrir a partir del uso de esta información.</w:t>
      </w:r>
    </w:p>
    <w:p>
      <w:pPr>
        <w:ind w:left="824" w:right="725"/>
        <w:rPr>
          <w:b/>
          <w:sz w:val="18"/>
          <w:szCs w:val="20"/>
          <w:lang w:val="es-US"/>
        </w:rPr>
      </w:pPr>
      <w:r>
        <w:rPr>
          <w:b/>
          <w:bCs/>
          <w:sz w:val="18"/>
          <w:szCs w:val="18"/>
          <w:lang w:val="es-US"/>
        </w:rPr>
        <w:t>Ninguna parte de este documento debe interpretarse como una recomendación de uso que infrinja patentes válidas, ni como una extensión de una licencia para patentes válidas.</w:t>
      </w:r>
    </w:p>
    <w:sectPr>
      <w:pgSz w:w="12240" w:h="15840"/>
      <w:pgMar w:top="1440" w:right="280" w:bottom="1200" w:left="500" w:header="135" w:footer="100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Style w:val="BodyText"/>
      <w:spacing w:line="14" w:lineRule="auto"/>
    </w:pPr>
    <w:r>
      <w:rPr>
        <w:noProof/>
      </w:rPr>
      <mc:AlternateContent>
        <mc:Choice Requires="wps">
          <w:drawing>
            <wp:anchor distT="0" distB="0" distL="0" distR="0" simplePos="0" relativeHeight="251656704" behindDoc="1" locked="0" layoutInCell="1" allowOverlap="1">
              <wp:simplePos x="0" y="0"/>
              <wp:positionH relativeFrom="page">
                <wp:posOffset>3237864</wp:posOffset>
              </wp:positionH>
              <wp:positionV relativeFrom="page">
                <wp:posOffset>9282164</wp:posOffset>
              </wp:positionV>
              <wp:extent cx="675005" cy="167640"/>
              <wp:effectExtent l="0" t="0" r="0" b="0"/>
              <wp:wrapNone/>
              <wp:docPr id="4" name="Textbox 4"/>
              <wp:cNvGraphicFramePr/>
              <a:graphic xmlns:a="http://schemas.openxmlformats.org/drawingml/2006/main">
                <a:graphicData uri="http://schemas.microsoft.com/office/word/2010/wordprocessingShape">
                  <wps:wsp>
                    <wps:cNvSpPr txBox="1"/>
                    <wps:spPr>
                      <a:xfrm>
                        <a:off x="0" y="0"/>
                        <a:ext cx="675005" cy="167640"/>
                      </a:xfrm>
                      <a:prstGeom prst="rect">
                        <a:avLst/>
                      </a:prstGeom>
                    </wps:spPr>
                    <wps:txbx>
                      <w:txbxContent>
                        <w:p>
                          <w:pPr>
                            <w:pStyle w:val="BodyText"/>
                            <w:spacing w:before="13"/>
                            <w:ind w:left="20"/>
                          </w:pPr>
                          <w:r>
                            <w:rPr>
                              <w:lang w:val="es-ES_tradnl"/>
                            </w:rPr>
                            <w:t xml:space="preserve">Página </w:t>
                          </w:r>
                          <w:r>
                            <w:fldChar w:fldCharType="begin"/>
                          </w:r>
                          <w:r>
                            <w:instrText xml:space="preserve"> PAGE </w:instrText>
                          </w:r>
                          <w:r>
                            <w:fldChar w:fldCharType="separate"/>
                          </w:r>
                          <w:r>
                            <w:t>1</w:t>
                          </w:r>
                          <w:r>
                            <w:fldChar w:fldCharType="end"/>
                          </w:r>
                          <w:r>
                            <w:rPr>
                              <w:lang w:val="es-ES_tradnl"/>
                            </w:rPr>
                            <w:t xml:space="preserve"> de </w:t>
                          </w:r>
                          <w:r>
                            <w:rPr>
                              <w:spacing w:val="-10"/>
                            </w:rPr>
                            <w:fldChar w:fldCharType="begin"/>
                          </w:r>
                          <w:r>
                            <w:rPr>
                              <w:spacing w:val="-10"/>
                            </w:rPr>
                            <w:instrText xml:space="preserve"> NUMPAGES </w:instrText>
                          </w:r>
                          <w:r>
                            <w:rPr>
                              <w:spacing w:val="-10"/>
                            </w:rPr>
                            <w:fldChar w:fldCharType="separate"/>
                          </w:r>
                          <w:r>
                            <w:rPr>
                              <w:spacing w:val="-10"/>
                            </w:rPr>
                            <w:t>7</w:t>
                          </w:r>
                          <w:r>
                            <w:rPr>
                              <w:spacing w:val="-10"/>
                            </w:rPr>
                            <w:fldChar w:fldCharType="end"/>
                          </w:r>
                        </w:p>
                      </w:txbxContent>
                    </wps:txbx>
                    <wps:bodyPr wrap="square" lIns="0" tIns="0" rIns="0" bIns="0" rtlCol="0"/>
                  </wps:wsp>
                </a:graphicData>
              </a:graphic>
            </wp:anchor>
          </w:drawing>
        </mc:Choice>
        <mc:Fallback>
          <w:pict>
            <v:shapetype id="_x0000_t202" coordsize="21600,21600" o:spt="202" path="m,l,21600r21600,l21600,xe">
              <v:stroke joinstyle="miter"/>
              <v:path gradientshapeok="t" o:connecttype="rect"/>
            </v:shapetype>
            <v:shape id="Textbox 4" o:spid="_x0000_s1028" type="#_x0000_t202" style="position:absolute;margin-left:254.95pt;margin-top:730.9pt;width:53.15pt;height:13.2pt;z-index:-251659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" filled="f" stroked="f">
              <v:textbox inset="0,0,0,0">
                <w:txbxContent>
                  <w:p>
                    <w:pPr>
                      <w:pStyle w:val="BodyText"/>
                      <w:spacing w:before="13"/>
                      <w:ind w:left="20"/>
                    </w:pPr>
                    <w:r>
                      <w:rPr>
                        <w:lang w:val="es-ES_tradnl"/>
                      </w:rPr>
                      <w:t xml:space="preserve">Página </w:t>
                    </w:r>
                    <w:r>
                      <w:fldChar w:fldCharType="begin"/>
                    </w:r>
                    <w:r>
                      <w:instrText xml:space="preserve"> PAGE </w:instrText>
                    </w:r>
                    <w:r>
                      <w:fldChar w:fldCharType="separate"/>
                    </w:r>
                    <w:r>
                      <w:t>1</w:t>
                    </w:r>
                    <w:r>
                      <w:fldChar w:fldCharType="end"/>
                    </w:r>
                    <w:r>
                      <w:rPr>
                        <w:lang w:val="es-ES_tradnl"/>
                      </w:rPr>
                      <w:t xml:space="preserve"> de </w:t>
                    </w:r>
                    <w:r>
                      <w:rPr>
                        <w:spacing w:val="-10"/>
                      </w:rPr>
                      <w:fldChar w:fldCharType="begin"/>
                    </w:r>
                    <w:r>
                      <w:rPr>
                        <w:spacing w:val="-10"/>
                      </w:rPr>
                      <w:instrText xml:space="preserve"> NUMPAGES </w:instrText>
                    </w:r>
                    <w:r>
                      <w:rPr>
                        <w:spacing w:val="-10"/>
                      </w:rPr>
                      <w:fldChar w:fldCharType="separate"/>
                    </w:r>
                    <w:r>
                      <w:rPr>
                        <w:spacing w:val="-10"/>
                      </w:rPr>
                      <w:t>7</w:t>
                    </w:r>
                    <w:r>
                      <w:rPr>
                        <w:spacing w:val="-10"/>
                      </w:rPr>
                      <w:fldChar w:fldCharType="end"/>
                    </w:r>
                  </w:p>
                </w:txbxContent>
              </v:textbox>
              <w10:wrap anchorx="page" anchory="page"/>
            </v:shape>
          </w:pict>
        </mc:Fallback>
      </mc:AlternateContent>
    </w:r>
    <w:r>
      <w:rPr>
        <w:noProof/>
      </w:rPr>
      <mc:AlternateContent>
        <mc:Choice Requires="wps">
          <w:drawing>
            <wp:anchor distT="0" distB="0" distL="0" distR="0" simplePos="0" relativeHeight="251658752" behindDoc="1" locked="0" layoutInCell="1" allowOverlap="1">
              <wp:simplePos x="0" y="0"/>
              <wp:positionH relativeFrom="page">
                <wp:posOffset>5688592</wp:posOffset>
              </wp:positionH>
              <wp:positionV relativeFrom="page">
                <wp:posOffset>9282164</wp:posOffset>
              </wp:positionV>
              <wp:extent cx="661035" cy="167640"/>
              <wp:effectExtent l="0" t="0" r="0" b="0"/>
              <wp:wrapNone/>
              <wp:docPr id="5" name="Textbox 5"/>
              <wp:cNvGraphicFramePr/>
              <a:graphic xmlns:a="http://schemas.openxmlformats.org/drawingml/2006/main">
                <a:graphicData uri="http://schemas.microsoft.com/office/word/2010/wordprocessingShape">
                  <wps:wsp>
                    <wps:cNvSpPr txBox="1"/>
                    <wps:spPr>
                      <a:xfrm>
                        <a:off x="0" y="0"/>
                        <a:ext cx="661035" cy="167640"/>
                      </a:xfrm>
                      <a:prstGeom prst="rect">
                        <a:avLst/>
                      </a:prstGeom>
                    </wps:spPr>
                    <wps:txbx>
                      <w:txbxContent>
                        <w:p>
                          <w:pPr>
                            <w:pStyle w:val="BodyText"/>
                            <w:spacing w:before="13"/>
                            <w:ind w:left="20"/>
                          </w:pPr>
                          <w:r>
                            <w:rPr>
                              <w:lang w:val="es-ES_tradnl"/>
                            </w:rPr>
                            <w:t>12/20/2024</w:t>
                          </w:r>
                        </w:p>
                      </w:txbxContent>
                    </wps:txbx>
                    <wps:bodyPr wrap="square" lIns="0" tIns="0" rIns="0" bIns="0" rtlCol="0"/>
                  </wps:wsp>
                </a:graphicData>
              </a:graphic>
            </wp:anchor>
          </w:drawing>
        </mc:Choice>
        <mc:Fallback>
          <w:pict>
            <v:shape id="Textbox 5" o:spid="_x0000_s1029" type="#_x0000_t202" style="position:absolute;margin-left:447.9pt;margin-top:730.9pt;width:52.05pt;height:13.2pt;z-index:-2516577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" filled="f" stroked="f">
              <v:textbox inset="0,0,0,0">
                <w:txbxContent>
                  <w:p>
                    <w:pPr>
                      <w:pStyle w:val="BodyText"/>
                      <w:spacing w:before="13"/>
                      <w:ind w:left="20"/>
                    </w:pPr>
                    <w:r>
                      <w:rPr>
                        <w:lang w:val="es-ES_tradnl"/>
                      </w:rPr>
                      <w:t>12/20/2024</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Style w:val="BodyText"/>
      <w:spacing w:line="14" w:lineRule="auto"/>
    </w:pPr>
    <w:r>
      <w:rPr>
        <w:noProof/>
      </w:rPr>
      <mc:AlternateContent>
        <mc:Choice Requires="wps">
          <w:drawing>
            <wp:anchor distT="0" distB="0" distL="0" distR="0" simplePos="0" relativeHeight="251657216" behindDoc="1" locked="0" layoutInCell="1" allowOverlap="1">
              <wp:simplePos x="0" y="0"/>
              <wp:positionH relativeFrom="page">
                <wp:posOffset>1695450</wp:posOffset>
              </wp:positionH>
              <wp:positionV relativeFrom="page">
                <wp:posOffset>336550</wp:posOffset>
              </wp:positionV>
              <wp:extent cx="3771900" cy="298450"/>
              <wp:effectExtent l="0" t="0" r="0" b="0"/>
              <wp:wrapNone/>
              <wp:docPr id="2" name="Textbox 2"/>
              <wp:cNvGraphicFramePr/>
              <a:graphic xmlns:a="http://schemas.openxmlformats.org/drawingml/2006/main">
                <a:graphicData uri="http://schemas.microsoft.com/office/word/2010/wordprocessingShape">
                  <wps:wsp>
                    <wps:cNvSpPr txBox="1"/>
                    <wps:spPr>
                      <a:xfrm>
                        <a:off x="0" y="0"/>
                        <a:ext cx="3771900" cy="298450"/>
                      </a:xfrm>
                      <a:prstGeom prst="rect">
                        <a:avLst/>
                      </a:prstGeom>
                    </wps:spPr>
                    <wps:txbx>
                      <w:txbxContent>
                        <w:p>
                          <w:pPr>
                            <w:spacing w:before="8"/>
                            <w:ind w:left="20"/>
                            <w:rPr>
                              <w:b/>
                              <w:sz w:val="36"/>
                            </w:rPr>
                          </w:pPr>
                          <w:r>
                            <w:rPr>
                              <w:b/>
                              <w:bCs/>
                              <w:sz w:val="36"/>
                              <w:szCs w:val="36"/>
                              <w:lang w:val="es-ES_tradnl"/>
                            </w:rPr>
                            <w:t>HOJA DE DATOS DE SEGURIDAD</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box 2" o:spid="_x0000_s1026" type="#_x0000_t202" style="position:absolute;margin-left:133.5pt;margin-top:26.5pt;width:297pt;height:23.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" filled="f" stroked="f">
              <v:textbox inset="0,0,0,0">
                <w:txbxContent>
                  <w:p>
                    <w:pPr>
                      <w:spacing w:before="8"/>
                      <w:ind w:left="20"/>
                      <w:rPr>
                        <w:b/>
                        <w:sz w:val="36"/>
                      </w:rPr>
                    </w:pPr>
                    <w:r>
                      <w:rPr>
                        <w:b/>
                        <w:bCs/>
                        <w:sz w:val="36"/>
                        <w:szCs w:val="36"/>
                        <w:lang w:val="es-ES_tradnl"/>
                      </w:rPr>
                      <w:t>HOJA DE DATOS DE SEGURIDAD</w:t>
                    </w:r>
                  </w:p>
                </w:txbxContent>
              </v:textbox>
              <w10:wrap anchorx="page" anchory="page"/>
            </v:shape>
          </w:pict>
        </mc:Fallback>
      </mc:AlternateContent>
    </w:r>
    <w:r>
      <w:rPr>
        <w:noProof/>
      </w:rPr>
      <w:drawing>
        <wp:anchor distT="0" distB="0" distL="0" distR="0" simplePos="0" relativeHeight="251655168" behindDoc="1" locked="0" layoutInCell="1" allowOverlap="1">
          <wp:simplePos x="0" y="0"/>
          <wp:positionH relativeFrom="page">
            <wp:posOffset>145415</wp:posOffset>
          </wp:positionH>
          <wp:positionV relativeFrom="page">
            <wp:posOffset>85725</wp:posOffset>
          </wp:positionV>
          <wp:extent cx="789551" cy="828675"/>
          <wp:effectExtent l="0" t="0" r="0" b="0"/>
          <wp:wrapNone/>
          <wp:docPr id="1" name="Image 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789551" cy="828675"/>
                  </a:xfrm>
                  <a:prstGeom prst="rect">
                    <a:avLst/>
                  </a:prstGeom>
                </pic:spPr>
              </pic:pic>
            </a:graphicData>
          </a:graphic>
        </wp:anchor>
      </w:drawing>
    </w:r>
    <w:r>
      <w:rPr>
        <w:noProof/>
      </w:rPr>
      <mc:AlternateContent>
        <mc:Choice Requires="wps">
          <w:drawing>
            <wp:anchor distT="0" distB="0" distL="0" distR="0" simplePos="0" relativeHeight="251659776" behindDoc="1" locked="0" layoutInCell="1" allowOverlap="1">
              <wp:simplePos x="0" y="0"/>
              <wp:positionH relativeFrom="page">
                <wp:posOffset>5866765</wp:posOffset>
              </wp:positionH>
              <wp:positionV relativeFrom="page">
                <wp:posOffset>335843</wp:posOffset>
              </wp:positionV>
              <wp:extent cx="1258570" cy="281305"/>
              <wp:effectExtent l="0" t="0" r="0" b="0"/>
              <wp:wrapNone/>
              <wp:docPr id="3" name="Textbox 3"/>
              <wp:cNvGraphicFramePr/>
              <a:graphic xmlns:a="http://schemas.openxmlformats.org/drawingml/2006/main">
                <a:graphicData uri="http://schemas.microsoft.com/office/word/2010/wordprocessingShape">
                  <wps:wsp>
                    <wps:cNvSpPr txBox="1"/>
                    <wps:spPr>
                      <a:xfrm>
                        <a:off x="0" y="0"/>
                        <a:ext cx="1258570" cy="281305"/>
                      </a:xfrm>
                      <a:prstGeom prst="rect">
                        <a:avLst/>
                      </a:prstGeom>
                    </wps:spPr>
                    <wps:txbx>
                      <w:txbxContent>
                        <w:p>
                          <w:pPr>
                            <w:spacing w:before="8"/>
                            <w:ind w:left="20"/>
                            <w:rPr>
                              <w:b/>
                              <w:sz w:val="36"/>
                            </w:rPr>
                          </w:pPr>
                          <w:r>
                            <w:rPr>
                              <w:b/>
                              <w:bCs/>
                              <w:sz w:val="36"/>
                              <w:szCs w:val="36"/>
                              <w:lang w:val="es-ES_tradnl"/>
                            </w:rPr>
                            <w:t>SDS N.º 4054</w:t>
                          </w:r>
                        </w:p>
                      </w:txbxContent>
                    </wps:txbx>
                    <wps:bodyPr wrap="square" lIns="0" tIns="0" rIns="0" bIns="0" rtlCol="0"/>
                  </wps:wsp>
                </a:graphicData>
              </a:graphic>
            </wp:anchor>
          </w:drawing>
        </mc:Choice>
        <mc:Fallback>
          <w:pict>
            <v:shape id="Textbox 3" o:spid="_x0000_s1027" type="#_x0000_t202" style="position:absolute;margin-left:461.95pt;margin-top:26.45pt;width:99.1pt;height:22.15pt;z-index:-251656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" filled="f" stroked="f">
              <v:textbox inset="0,0,0,0">
                <w:txbxContent>
                  <w:p>
                    <w:pPr>
                      <w:spacing w:before="8"/>
                      <w:ind w:left="20"/>
                      <w:rPr>
                        <w:b/>
                        <w:sz w:val="36"/>
                      </w:rPr>
                    </w:pPr>
                    <w:r>
                      <w:rPr>
                        <w:b/>
                        <w:bCs/>
                        <w:sz w:val="36"/>
                        <w:szCs w:val="36"/>
                        <w:lang w:val="es-ES_tradnl"/>
                      </w:rPr>
                      <w:t>SDS N.º 4054</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45F3D9"/>
    <w:multiLevelType w:val="multilevel"/>
    <w:tmpl w:val="00000000"/>
    <w:lvl w:ilvl="0">
      <w:start w:val="8"/>
      <w:numFmt w:val="decimal"/>
      <w:lvlText w:val="%1"/>
      <w:lvlJc w:val="left"/>
      <w:pPr>
        <w:ind w:left="914" w:hanging="435"/>
        <w:jc w:val="left"/>
      </w:pPr>
      <w:rPr>
        <w:rFonts w:hint="default"/>
        <w:lang w:val="en-US" w:eastAsia="en-US" w:bidi="ar-SA"/>
      </w:rPr>
    </w:lvl>
    <w:lvl w:ilvl="1">
      <w:start w:val="1"/>
      <w:numFmt w:val="decimal"/>
      <w:lvlText w:val="%1.%2"/>
      <w:lvlJc w:val="left"/>
      <w:pPr>
        <w:ind w:left="914" w:hanging="435"/>
        <w:jc w:val="left"/>
      </w:pPr>
      <w:rPr>
        <w:rFonts w:ascii="Arial" w:eastAsia="Arial" w:hAnsi="Arial" w:cs="Arial" w:hint="default"/>
        <w:b w:val="0"/>
        <w:bCs w:val="0"/>
        <w:i w:val="0"/>
        <w:iCs w:val="0"/>
        <w:spacing w:val="-1"/>
        <w:w w:val="100"/>
        <w:sz w:val="20"/>
        <w:szCs w:val="20"/>
        <w:lang w:val="en-US" w:eastAsia="en-US" w:bidi="ar-SA"/>
      </w:rPr>
    </w:lvl>
    <w:lvl w:ilvl="2">
      <w:numFmt w:val="bullet"/>
      <w:lvlText w:val="•"/>
      <w:lvlJc w:val="left"/>
      <w:pPr>
        <w:ind w:left="3028" w:hanging="435"/>
      </w:pPr>
      <w:rPr>
        <w:rFonts w:hint="default"/>
        <w:lang w:val="en-US" w:eastAsia="en-US" w:bidi="ar-SA"/>
      </w:rPr>
    </w:lvl>
    <w:lvl w:ilvl="3">
      <w:numFmt w:val="bullet"/>
      <w:lvlText w:val="•"/>
      <w:lvlJc w:val="left"/>
      <w:pPr>
        <w:ind w:left="4082" w:hanging="435"/>
      </w:pPr>
      <w:rPr>
        <w:rFonts w:hint="default"/>
        <w:lang w:val="en-US" w:eastAsia="en-US" w:bidi="ar-SA"/>
      </w:rPr>
    </w:lvl>
    <w:lvl w:ilvl="4">
      <w:numFmt w:val="bullet"/>
      <w:lvlText w:val="•"/>
      <w:lvlJc w:val="left"/>
      <w:pPr>
        <w:ind w:left="5136" w:hanging="435"/>
      </w:pPr>
      <w:rPr>
        <w:rFonts w:hint="default"/>
        <w:lang w:val="en-US" w:eastAsia="en-US" w:bidi="ar-SA"/>
      </w:rPr>
    </w:lvl>
    <w:lvl w:ilvl="5">
      <w:numFmt w:val="bullet"/>
      <w:lvlText w:val="•"/>
      <w:lvlJc w:val="left"/>
      <w:pPr>
        <w:ind w:left="6190" w:hanging="435"/>
      </w:pPr>
      <w:rPr>
        <w:rFonts w:hint="default"/>
        <w:lang w:val="en-US" w:eastAsia="en-US" w:bidi="ar-SA"/>
      </w:rPr>
    </w:lvl>
    <w:lvl w:ilvl="6">
      <w:numFmt w:val="bullet"/>
      <w:lvlText w:val="•"/>
      <w:lvlJc w:val="left"/>
      <w:pPr>
        <w:ind w:left="7244" w:hanging="435"/>
      </w:pPr>
      <w:rPr>
        <w:rFonts w:hint="default"/>
        <w:lang w:val="en-US" w:eastAsia="en-US" w:bidi="ar-SA"/>
      </w:rPr>
    </w:lvl>
    <w:lvl w:ilvl="7">
      <w:numFmt w:val="bullet"/>
      <w:lvlText w:val="•"/>
      <w:lvlJc w:val="left"/>
      <w:pPr>
        <w:ind w:left="8298" w:hanging="435"/>
      </w:pPr>
      <w:rPr>
        <w:rFonts w:hint="default"/>
        <w:lang w:val="en-US" w:eastAsia="en-US" w:bidi="ar-SA"/>
      </w:rPr>
    </w:lvl>
    <w:lvl w:ilvl="8">
      <w:numFmt w:val="bullet"/>
      <w:lvlText w:val="•"/>
      <w:lvlJc w:val="left"/>
      <w:pPr>
        <w:ind w:left="9352" w:hanging="435"/>
      </w:pPr>
      <w:rPr>
        <w:rFonts w:hint="default"/>
        <w:lang w:val="en-US" w:eastAsia="en-US" w:bidi="ar-SA"/>
      </w:rPr>
    </w:lvl>
  </w:abstractNum>
  <w:abstractNum w:abstractNumId="1" w15:restartNumberingAfterBreak="0">
    <w:nsid w:val="1F1AD289"/>
    <w:multiLevelType w:val="multilevel"/>
    <w:tmpl w:val="00000000"/>
    <w:lvl w:ilvl="0">
      <w:start w:val="1"/>
      <w:numFmt w:val="decimal"/>
      <w:lvlText w:val="%1."/>
      <w:lvlJc w:val="left"/>
      <w:pPr>
        <w:ind w:left="479" w:hanging="225"/>
        <w:jc w:val="left"/>
      </w:pPr>
      <w:rPr>
        <w:rFonts w:ascii="Arial" w:eastAsia="Arial" w:hAnsi="Arial" w:cs="Arial" w:hint="default"/>
        <w:b w:val="0"/>
        <w:bCs w:val="0"/>
        <w:i w:val="0"/>
        <w:iCs w:val="0"/>
        <w:spacing w:val="-1"/>
        <w:w w:val="100"/>
        <w:sz w:val="20"/>
        <w:szCs w:val="20"/>
        <w:lang w:val="en-US" w:eastAsia="en-US" w:bidi="ar-SA"/>
      </w:rPr>
    </w:lvl>
    <w:lvl w:ilvl="1">
      <w:start w:val="2"/>
      <w:numFmt w:val="decimal"/>
      <w:lvlText w:val="%1.%2."/>
      <w:lvlJc w:val="left"/>
      <w:pPr>
        <w:ind w:left="914" w:hanging="435"/>
        <w:jc w:val="left"/>
      </w:pPr>
      <w:rPr>
        <w:rFonts w:hint="default"/>
        <w:spacing w:val="-1"/>
        <w:w w:val="100"/>
        <w:lang w:val="en-US" w:eastAsia="en-US" w:bidi="ar-SA"/>
      </w:rPr>
    </w:lvl>
    <w:lvl w:ilvl="2">
      <w:numFmt w:val="bullet"/>
      <w:lvlText w:val="•"/>
      <w:lvlJc w:val="left"/>
      <w:pPr>
        <w:ind w:left="2091" w:hanging="435"/>
      </w:pPr>
      <w:rPr>
        <w:rFonts w:hint="default"/>
        <w:lang w:val="en-US" w:eastAsia="en-US" w:bidi="ar-SA"/>
      </w:rPr>
    </w:lvl>
    <w:lvl w:ilvl="3">
      <w:numFmt w:val="bullet"/>
      <w:lvlText w:val="•"/>
      <w:lvlJc w:val="left"/>
      <w:pPr>
        <w:ind w:left="3262" w:hanging="435"/>
      </w:pPr>
      <w:rPr>
        <w:rFonts w:hint="default"/>
        <w:lang w:val="en-US" w:eastAsia="en-US" w:bidi="ar-SA"/>
      </w:rPr>
    </w:lvl>
    <w:lvl w:ilvl="4">
      <w:numFmt w:val="bullet"/>
      <w:lvlText w:val="•"/>
      <w:lvlJc w:val="left"/>
      <w:pPr>
        <w:ind w:left="4433" w:hanging="435"/>
      </w:pPr>
      <w:rPr>
        <w:rFonts w:hint="default"/>
        <w:lang w:val="en-US" w:eastAsia="en-US" w:bidi="ar-SA"/>
      </w:rPr>
    </w:lvl>
    <w:lvl w:ilvl="5">
      <w:numFmt w:val="bullet"/>
      <w:lvlText w:val="•"/>
      <w:lvlJc w:val="left"/>
      <w:pPr>
        <w:ind w:left="5604" w:hanging="435"/>
      </w:pPr>
      <w:rPr>
        <w:rFonts w:hint="default"/>
        <w:lang w:val="en-US" w:eastAsia="en-US" w:bidi="ar-SA"/>
      </w:rPr>
    </w:lvl>
    <w:lvl w:ilvl="6">
      <w:numFmt w:val="bullet"/>
      <w:lvlText w:val="•"/>
      <w:lvlJc w:val="left"/>
      <w:pPr>
        <w:ind w:left="6775" w:hanging="435"/>
      </w:pPr>
      <w:rPr>
        <w:rFonts w:hint="default"/>
        <w:lang w:val="en-US" w:eastAsia="en-US" w:bidi="ar-SA"/>
      </w:rPr>
    </w:lvl>
    <w:lvl w:ilvl="7">
      <w:numFmt w:val="bullet"/>
      <w:lvlText w:val="•"/>
      <w:lvlJc w:val="left"/>
      <w:pPr>
        <w:ind w:left="7946" w:hanging="435"/>
      </w:pPr>
      <w:rPr>
        <w:rFonts w:hint="default"/>
        <w:lang w:val="en-US" w:eastAsia="en-US" w:bidi="ar-SA"/>
      </w:rPr>
    </w:lvl>
    <w:lvl w:ilvl="8">
      <w:numFmt w:val="bullet"/>
      <w:lvlText w:val="•"/>
      <w:lvlJc w:val="left"/>
      <w:pPr>
        <w:ind w:left="9117" w:hanging="435"/>
      </w:pPr>
      <w:rPr>
        <w:rFonts w:hint="default"/>
        <w:lang w:val="en-US" w:eastAsia="en-US" w:bidi="ar-SA"/>
      </w:rPr>
    </w:lvl>
  </w:abstractNum>
  <w:abstractNum w:abstractNumId="2" w15:restartNumberingAfterBreak="0">
    <w:nsid w:val="1F8E6BF4"/>
    <w:multiLevelType w:val="multilevel"/>
    <w:tmpl w:val="00000000"/>
    <w:lvl w:ilvl="0">
      <w:start w:val="6"/>
      <w:numFmt w:val="decimal"/>
      <w:lvlText w:val="%1"/>
      <w:lvlJc w:val="left"/>
      <w:pPr>
        <w:ind w:left="914" w:hanging="435"/>
        <w:jc w:val="left"/>
      </w:pPr>
      <w:rPr>
        <w:rFonts w:hint="default"/>
        <w:lang w:val="en-US" w:eastAsia="en-US" w:bidi="ar-SA"/>
      </w:rPr>
    </w:lvl>
    <w:lvl w:ilvl="1">
      <w:start w:val="1"/>
      <w:numFmt w:val="decimal"/>
      <w:lvlText w:val="%1.%2"/>
      <w:lvlJc w:val="left"/>
      <w:pPr>
        <w:ind w:left="914" w:hanging="435"/>
        <w:jc w:val="left"/>
      </w:pPr>
      <w:rPr>
        <w:rFonts w:ascii="Arial" w:eastAsia="Arial" w:hAnsi="Arial" w:cs="Arial" w:hint="default"/>
        <w:b w:val="0"/>
        <w:bCs w:val="0"/>
        <w:i w:val="0"/>
        <w:iCs w:val="0"/>
        <w:spacing w:val="-1"/>
        <w:w w:val="100"/>
        <w:sz w:val="20"/>
        <w:szCs w:val="20"/>
        <w:lang w:val="en-US" w:eastAsia="en-US" w:bidi="ar-SA"/>
      </w:rPr>
    </w:lvl>
    <w:lvl w:ilvl="2">
      <w:numFmt w:val="bullet"/>
      <w:lvlText w:val="•"/>
      <w:lvlJc w:val="left"/>
      <w:pPr>
        <w:ind w:left="3028" w:hanging="435"/>
      </w:pPr>
      <w:rPr>
        <w:rFonts w:hint="default"/>
        <w:lang w:val="en-US" w:eastAsia="en-US" w:bidi="ar-SA"/>
      </w:rPr>
    </w:lvl>
    <w:lvl w:ilvl="3">
      <w:numFmt w:val="bullet"/>
      <w:lvlText w:val="•"/>
      <w:lvlJc w:val="left"/>
      <w:pPr>
        <w:ind w:left="4082" w:hanging="435"/>
      </w:pPr>
      <w:rPr>
        <w:rFonts w:hint="default"/>
        <w:lang w:val="en-US" w:eastAsia="en-US" w:bidi="ar-SA"/>
      </w:rPr>
    </w:lvl>
    <w:lvl w:ilvl="4">
      <w:numFmt w:val="bullet"/>
      <w:lvlText w:val="•"/>
      <w:lvlJc w:val="left"/>
      <w:pPr>
        <w:ind w:left="5136" w:hanging="435"/>
      </w:pPr>
      <w:rPr>
        <w:rFonts w:hint="default"/>
        <w:lang w:val="en-US" w:eastAsia="en-US" w:bidi="ar-SA"/>
      </w:rPr>
    </w:lvl>
    <w:lvl w:ilvl="5">
      <w:numFmt w:val="bullet"/>
      <w:lvlText w:val="•"/>
      <w:lvlJc w:val="left"/>
      <w:pPr>
        <w:ind w:left="6190" w:hanging="435"/>
      </w:pPr>
      <w:rPr>
        <w:rFonts w:hint="default"/>
        <w:lang w:val="en-US" w:eastAsia="en-US" w:bidi="ar-SA"/>
      </w:rPr>
    </w:lvl>
    <w:lvl w:ilvl="6">
      <w:numFmt w:val="bullet"/>
      <w:lvlText w:val="•"/>
      <w:lvlJc w:val="left"/>
      <w:pPr>
        <w:ind w:left="7244" w:hanging="435"/>
      </w:pPr>
      <w:rPr>
        <w:rFonts w:hint="default"/>
        <w:lang w:val="en-US" w:eastAsia="en-US" w:bidi="ar-SA"/>
      </w:rPr>
    </w:lvl>
    <w:lvl w:ilvl="7">
      <w:numFmt w:val="bullet"/>
      <w:lvlText w:val="•"/>
      <w:lvlJc w:val="left"/>
      <w:pPr>
        <w:ind w:left="8298" w:hanging="435"/>
      </w:pPr>
      <w:rPr>
        <w:rFonts w:hint="default"/>
        <w:lang w:val="en-US" w:eastAsia="en-US" w:bidi="ar-SA"/>
      </w:rPr>
    </w:lvl>
    <w:lvl w:ilvl="8">
      <w:numFmt w:val="bullet"/>
      <w:lvlText w:val="•"/>
      <w:lvlJc w:val="left"/>
      <w:pPr>
        <w:ind w:left="9352" w:hanging="435"/>
      </w:pPr>
      <w:rPr>
        <w:rFonts w:hint="default"/>
        <w:lang w:val="en-US" w:eastAsia="en-US" w:bidi="ar-SA"/>
      </w:rPr>
    </w:lvl>
  </w:abstractNum>
  <w:abstractNum w:abstractNumId="3" w15:restartNumberingAfterBreak="0">
    <w:nsid w:val="35568B32"/>
    <w:multiLevelType w:val="multilevel"/>
    <w:tmpl w:val="00000000"/>
    <w:lvl w:ilvl="0">
      <w:start w:val="12"/>
      <w:numFmt w:val="decimal"/>
      <w:lvlText w:val="%1"/>
      <w:lvlJc w:val="left"/>
      <w:pPr>
        <w:ind w:left="1109" w:hanging="630"/>
        <w:jc w:val="left"/>
      </w:pPr>
      <w:rPr>
        <w:rFonts w:hint="default"/>
        <w:lang w:val="en-US" w:eastAsia="en-US" w:bidi="ar-SA"/>
      </w:rPr>
    </w:lvl>
    <w:lvl w:ilvl="1">
      <w:start w:val="3"/>
      <w:numFmt w:val="decimal"/>
      <w:lvlText w:val="%1.%2"/>
      <w:lvlJc w:val="left"/>
      <w:pPr>
        <w:ind w:left="1109" w:hanging="630"/>
        <w:jc w:val="left"/>
      </w:pPr>
      <w:rPr>
        <w:rFonts w:ascii="Arial" w:eastAsia="Arial" w:hAnsi="Arial" w:cs="Arial" w:hint="default"/>
        <w:b w:val="0"/>
        <w:bCs w:val="0"/>
        <w:i w:val="0"/>
        <w:iCs w:val="0"/>
        <w:spacing w:val="-1"/>
        <w:w w:val="100"/>
        <w:sz w:val="20"/>
        <w:szCs w:val="20"/>
        <w:lang w:val="en-US" w:eastAsia="en-US" w:bidi="ar-SA"/>
      </w:rPr>
    </w:lvl>
    <w:lvl w:ilvl="2">
      <w:numFmt w:val="bullet"/>
      <w:lvlText w:val="•"/>
      <w:lvlJc w:val="left"/>
      <w:pPr>
        <w:ind w:left="3172" w:hanging="630"/>
      </w:pPr>
      <w:rPr>
        <w:rFonts w:hint="default"/>
        <w:lang w:val="en-US" w:eastAsia="en-US" w:bidi="ar-SA"/>
      </w:rPr>
    </w:lvl>
    <w:lvl w:ilvl="3">
      <w:numFmt w:val="bullet"/>
      <w:lvlText w:val="•"/>
      <w:lvlJc w:val="left"/>
      <w:pPr>
        <w:ind w:left="4208" w:hanging="630"/>
      </w:pPr>
      <w:rPr>
        <w:rFonts w:hint="default"/>
        <w:lang w:val="en-US" w:eastAsia="en-US" w:bidi="ar-SA"/>
      </w:rPr>
    </w:lvl>
    <w:lvl w:ilvl="4">
      <w:numFmt w:val="bullet"/>
      <w:lvlText w:val="•"/>
      <w:lvlJc w:val="left"/>
      <w:pPr>
        <w:ind w:left="5244" w:hanging="630"/>
      </w:pPr>
      <w:rPr>
        <w:rFonts w:hint="default"/>
        <w:lang w:val="en-US" w:eastAsia="en-US" w:bidi="ar-SA"/>
      </w:rPr>
    </w:lvl>
    <w:lvl w:ilvl="5">
      <w:numFmt w:val="bullet"/>
      <w:lvlText w:val="•"/>
      <w:lvlJc w:val="left"/>
      <w:pPr>
        <w:ind w:left="6280" w:hanging="630"/>
      </w:pPr>
      <w:rPr>
        <w:rFonts w:hint="default"/>
        <w:lang w:val="en-US" w:eastAsia="en-US" w:bidi="ar-SA"/>
      </w:rPr>
    </w:lvl>
    <w:lvl w:ilvl="6">
      <w:numFmt w:val="bullet"/>
      <w:lvlText w:val="•"/>
      <w:lvlJc w:val="left"/>
      <w:pPr>
        <w:ind w:left="7316" w:hanging="630"/>
      </w:pPr>
      <w:rPr>
        <w:rFonts w:hint="default"/>
        <w:lang w:val="en-US" w:eastAsia="en-US" w:bidi="ar-SA"/>
      </w:rPr>
    </w:lvl>
    <w:lvl w:ilvl="7">
      <w:numFmt w:val="bullet"/>
      <w:lvlText w:val="•"/>
      <w:lvlJc w:val="left"/>
      <w:pPr>
        <w:ind w:left="8352" w:hanging="630"/>
      </w:pPr>
      <w:rPr>
        <w:rFonts w:hint="default"/>
        <w:lang w:val="en-US" w:eastAsia="en-US" w:bidi="ar-SA"/>
      </w:rPr>
    </w:lvl>
    <w:lvl w:ilvl="8">
      <w:numFmt w:val="bullet"/>
      <w:lvlText w:val="•"/>
      <w:lvlJc w:val="left"/>
      <w:pPr>
        <w:ind w:left="9388" w:hanging="630"/>
      </w:pPr>
      <w:rPr>
        <w:rFonts w:hint="default"/>
        <w:lang w:val="en-US" w:eastAsia="en-US" w:bidi="ar-SA"/>
      </w:rPr>
    </w:lvl>
  </w:abstractNum>
  <w:abstractNum w:abstractNumId="4" w15:restartNumberingAfterBreak="0">
    <w:nsid w:val="3F62F33E"/>
    <w:multiLevelType w:val="multilevel"/>
    <w:tmpl w:val="00000000"/>
    <w:lvl w:ilvl="0">
      <w:start w:val="7"/>
      <w:numFmt w:val="decimal"/>
      <w:lvlText w:val="%1"/>
      <w:lvlJc w:val="left"/>
      <w:pPr>
        <w:ind w:left="914" w:hanging="435"/>
        <w:jc w:val="left"/>
      </w:pPr>
      <w:rPr>
        <w:rFonts w:hint="default"/>
        <w:lang w:val="en-US" w:eastAsia="en-US" w:bidi="ar-SA"/>
      </w:rPr>
    </w:lvl>
    <w:lvl w:ilvl="1">
      <w:start w:val="1"/>
      <w:numFmt w:val="decimal"/>
      <w:lvlText w:val="%1.%2"/>
      <w:lvlJc w:val="left"/>
      <w:pPr>
        <w:ind w:left="914" w:hanging="435"/>
        <w:jc w:val="left"/>
      </w:pPr>
      <w:rPr>
        <w:rFonts w:ascii="Arial" w:eastAsia="Arial" w:hAnsi="Arial" w:cs="Arial" w:hint="default"/>
        <w:b w:val="0"/>
        <w:bCs w:val="0"/>
        <w:i w:val="0"/>
        <w:iCs w:val="0"/>
        <w:spacing w:val="-1"/>
        <w:w w:val="100"/>
        <w:sz w:val="20"/>
        <w:szCs w:val="20"/>
        <w:lang w:val="en-US" w:eastAsia="en-US" w:bidi="ar-SA"/>
      </w:rPr>
    </w:lvl>
    <w:lvl w:ilvl="2">
      <w:numFmt w:val="bullet"/>
      <w:lvlText w:val="•"/>
      <w:lvlJc w:val="left"/>
      <w:pPr>
        <w:ind w:left="3028" w:hanging="435"/>
      </w:pPr>
      <w:rPr>
        <w:rFonts w:hint="default"/>
        <w:lang w:val="en-US" w:eastAsia="en-US" w:bidi="ar-SA"/>
      </w:rPr>
    </w:lvl>
    <w:lvl w:ilvl="3">
      <w:numFmt w:val="bullet"/>
      <w:lvlText w:val="•"/>
      <w:lvlJc w:val="left"/>
      <w:pPr>
        <w:ind w:left="4082" w:hanging="435"/>
      </w:pPr>
      <w:rPr>
        <w:rFonts w:hint="default"/>
        <w:lang w:val="en-US" w:eastAsia="en-US" w:bidi="ar-SA"/>
      </w:rPr>
    </w:lvl>
    <w:lvl w:ilvl="4">
      <w:numFmt w:val="bullet"/>
      <w:lvlText w:val="•"/>
      <w:lvlJc w:val="left"/>
      <w:pPr>
        <w:ind w:left="5136" w:hanging="435"/>
      </w:pPr>
      <w:rPr>
        <w:rFonts w:hint="default"/>
        <w:lang w:val="en-US" w:eastAsia="en-US" w:bidi="ar-SA"/>
      </w:rPr>
    </w:lvl>
    <w:lvl w:ilvl="5">
      <w:numFmt w:val="bullet"/>
      <w:lvlText w:val="•"/>
      <w:lvlJc w:val="left"/>
      <w:pPr>
        <w:ind w:left="6190" w:hanging="435"/>
      </w:pPr>
      <w:rPr>
        <w:rFonts w:hint="default"/>
        <w:lang w:val="en-US" w:eastAsia="en-US" w:bidi="ar-SA"/>
      </w:rPr>
    </w:lvl>
    <w:lvl w:ilvl="6">
      <w:numFmt w:val="bullet"/>
      <w:lvlText w:val="•"/>
      <w:lvlJc w:val="left"/>
      <w:pPr>
        <w:ind w:left="7244" w:hanging="435"/>
      </w:pPr>
      <w:rPr>
        <w:rFonts w:hint="default"/>
        <w:lang w:val="en-US" w:eastAsia="en-US" w:bidi="ar-SA"/>
      </w:rPr>
    </w:lvl>
    <w:lvl w:ilvl="7">
      <w:numFmt w:val="bullet"/>
      <w:lvlText w:val="•"/>
      <w:lvlJc w:val="left"/>
      <w:pPr>
        <w:ind w:left="8298" w:hanging="435"/>
      </w:pPr>
      <w:rPr>
        <w:rFonts w:hint="default"/>
        <w:lang w:val="en-US" w:eastAsia="en-US" w:bidi="ar-SA"/>
      </w:rPr>
    </w:lvl>
    <w:lvl w:ilvl="8">
      <w:numFmt w:val="bullet"/>
      <w:lvlText w:val="•"/>
      <w:lvlJc w:val="left"/>
      <w:pPr>
        <w:ind w:left="9352" w:hanging="435"/>
      </w:pPr>
      <w:rPr>
        <w:rFonts w:hint="default"/>
        <w:lang w:val="en-US" w:eastAsia="en-US" w:bidi="ar-SA"/>
      </w:rPr>
    </w:lvl>
  </w:abstractNum>
  <w:abstractNum w:abstractNumId="5" w15:restartNumberingAfterBreak="0">
    <w:nsid w:val="63691537"/>
    <w:multiLevelType w:val="multilevel"/>
    <w:tmpl w:val="00000000"/>
    <w:lvl w:ilvl="0">
      <w:start w:val="5"/>
      <w:numFmt w:val="decimal"/>
      <w:lvlText w:val="%1"/>
      <w:lvlJc w:val="left"/>
      <w:pPr>
        <w:ind w:left="869" w:hanging="435"/>
        <w:jc w:val="left"/>
      </w:pPr>
      <w:rPr>
        <w:rFonts w:hint="default"/>
        <w:lang w:val="en-US" w:eastAsia="en-US" w:bidi="ar-SA"/>
      </w:rPr>
    </w:lvl>
    <w:lvl w:ilvl="1">
      <w:start w:val="1"/>
      <w:numFmt w:val="decimal"/>
      <w:lvlText w:val="%1.%2"/>
      <w:lvlJc w:val="left"/>
      <w:pPr>
        <w:ind w:left="869" w:hanging="435"/>
        <w:jc w:val="left"/>
      </w:pPr>
      <w:rPr>
        <w:rFonts w:ascii="Arial" w:eastAsia="Arial" w:hAnsi="Arial" w:cs="Arial" w:hint="default"/>
        <w:b w:val="0"/>
        <w:bCs w:val="0"/>
        <w:i w:val="0"/>
        <w:iCs w:val="0"/>
        <w:spacing w:val="-1"/>
        <w:w w:val="100"/>
        <w:sz w:val="20"/>
        <w:szCs w:val="20"/>
        <w:lang w:val="en-US" w:eastAsia="en-US" w:bidi="ar-SA"/>
      </w:rPr>
    </w:lvl>
    <w:lvl w:ilvl="2">
      <w:numFmt w:val="bullet"/>
      <w:lvlText w:val="•"/>
      <w:lvlJc w:val="left"/>
      <w:pPr>
        <w:ind w:left="2980" w:hanging="435"/>
      </w:pPr>
      <w:rPr>
        <w:rFonts w:hint="default"/>
        <w:lang w:val="en-US" w:eastAsia="en-US" w:bidi="ar-SA"/>
      </w:rPr>
    </w:lvl>
    <w:lvl w:ilvl="3">
      <w:numFmt w:val="bullet"/>
      <w:lvlText w:val="•"/>
      <w:lvlJc w:val="left"/>
      <w:pPr>
        <w:ind w:left="4040" w:hanging="435"/>
      </w:pPr>
      <w:rPr>
        <w:rFonts w:hint="default"/>
        <w:lang w:val="en-US" w:eastAsia="en-US" w:bidi="ar-SA"/>
      </w:rPr>
    </w:lvl>
    <w:lvl w:ilvl="4">
      <w:numFmt w:val="bullet"/>
      <w:lvlText w:val="•"/>
      <w:lvlJc w:val="left"/>
      <w:pPr>
        <w:ind w:left="5100" w:hanging="435"/>
      </w:pPr>
      <w:rPr>
        <w:rFonts w:hint="default"/>
        <w:lang w:val="en-US" w:eastAsia="en-US" w:bidi="ar-SA"/>
      </w:rPr>
    </w:lvl>
    <w:lvl w:ilvl="5">
      <w:numFmt w:val="bullet"/>
      <w:lvlText w:val="•"/>
      <w:lvlJc w:val="left"/>
      <w:pPr>
        <w:ind w:left="6160" w:hanging="435"/>
      </w:pPr>
      <w:rPr>
        <w:rFonts w:hint="default"/>
        <w:lang w:val="en-US" w:eastAsia="en-US" w:bidi="ar-SA"/>
      </w:rPr>
    </w:lvl>
    <w:lvl w:ilvl="6">
      <w:numFmt w:val="bullet"/>
      <w:lvlText w:val="•"/>
      <w:lvlJc w:val="left"/>
      <w:pPr>
        <w:ind w:left="7220" w:hanging="435"/>
      </w:pPr>
      <w:rPr>
        <w:rFonts w:hint="default"/>
        <w:lang w:val="en-US" w:eastAsia="en-US" w:bidi="ar-SA"/>
      </w:rPr>
    </w:lvl>
    <w:lvl w:ilvl="7">
      <w:numFmt w:val="bullet"/>
      <w:lvlText w:val="•"/>
      <w:lvlJc w:val="left"/>
      <w:pPr>
        <w:ind w:left="8280" w:hanging="435"/>
      </w:pPr>
      <w:rPr>
        <w:rFonts w:hint="default"/>
        <w:lang w:val="en-US" w:eastAsia="en-US" w:bidi="ar-SA"/>
      </w:rPr>
    </w:lvl>
    <w:lvl w:ilvl="8">
      <w:numFmt w:val="bullet"/>
      <w:lvlText w:val="•"/>
      <w:lvlJc w:val="left"/>
      <w:pPr>
        <w:ind w:left="9340" w:hanging="435"/>
      </w:pPr>
      <w:rPr>
        <w:rFonts w:hint="default"/>
        <w:lang w:val="en-US" w:eastAsia="en-US" w:bidi="ar-SA"/>
      </w:rPr>
    </w:lvl>
  </w:abstractNum>
  <w:abstractNum w:abstractNumId="6" w15:restartNumberingAfterBreak="0">
    <w:nsid w:val="705E5F45"/>
    <w:multiLevelType w:val="multilevel"/>
    <w:tmpl w:val="00000000"/>
    <w:lvl w:ilvl="0">
      <w:start w:val="4"/>
      <w:numFmt w:val="decimal"/>
      <w:lvlText w:val="%1"/>
      <w:lvlJc w:val="left"/>
      <w:pPr>
        <w:ind w:left="914" w:hanging="435"/>
        <w:jc w:val="left"/>
      </w:pPr>
      <w:rPr>
        <w:rFonts w:hint="default"/>
        <w:lang w:val="en-US" w:eastAsia="en-US" w:bidi="ar-SA"/>
      </w:rPr>
    </w:lvl>
    <w:lvl w:ilvl="1">
      <w:start w:val="1"/>
      <w:numFmt w:val="decimal"/>
      <w:lvlText w:val="%1.%2"/>
      <w:lvlJc w:val="left"/>
      <w:pPr>
        <w:ind w:left="914" w:hanging="435"/>
        <w:jc w:val="left"/>
      </w:pPr>
      <w:rPr>
        <w:rFonts w:hint="default"/>
        <w:spacing w:val="-1"/>
        <w:w w:val="100"/>
        <w:lang w:val="en-US" w:eastAsia="en-US" w:bidi="ar-SA"/>
      </w:rPr>
    </w:lvl>
    <w:lvl w:ilvl="2">
      <w:numFmt w:val="bullet"/>
      <w:lvlText w:val="•"/>
      <w:lvlJc w:val="left"/>
      <w:pPr>
        <w:ind w:left="3028" w:hanging="435"/>
      </w:pPr>
      <w:rPr>
        <w:rFonts w:hint="default"/>
        <w:lang w:val="en-US" w:eastAsia="en-US" w:bidi="ar-SA"/>
      </w:rPr>
    </w:lvl>
    <w:lvl w:ilvl="3">
      <w:numFmt w:val="bullet"/>
      <w:lvlText w:val="•"/>
      <w:lvlJc w:val="left"/>
      <w:pPr>
        <w:ind w:left="4082" w:hanging="435"/>
      </w:pPr>
      <w:rPr>
        <w:rFonts w:hint="default"/>
        <w:lang w:val="en-US" w:eastAsia="en-US" w:bidi="ar-SA"/>
      </w:rPr>
    </w:lvl>
    <w:lvl w:ilvl="4">
      <w:numFmt w:val="bullet"/>
      <w:lvlText w:val="•"/>
      <w:lvlJc w:val="left"/>
      <w:pPr>
        <w:ind w:left="5136" w:hanging="435"/>
      </w:pPr>
      <w:rPr>
        <w:rFonts w:hint="default"/>
        <w:lang w:val="en-US" w:eastAsia="en-US" w:bidi="ar-SA"/>
      </w:rPr>
    </w:lvl>
    <w:lvl w:ilvl="5">
      <w:numFmt w:val="bullet"/>
      <w:lvlText w:val="•"/>
      <w:lvlJc w:val="left"/>
      <w:pPr>
        <w:ind w:left="6190" w:hanging="435"/>
      </w:pPr>
      <w:rPr>
        <w:rFonts w:hint="default"/>
        <w:lang w:val="en-US" w:eastAsia="en-US" w:bidi="ar-SA"/>
      </w:rPr>
    </w:lvl>
    <w:lvl w:ilvl="6">
      <w:numFmt w:val="bullet"/>
      <w:lvlText w:val="•"/>
      <w:lvlJc w:val="left"/>
      <w:pPr>
        <w:ind w:left="7244" w:hanging="435"/>
      </w:pPr>
      <w:rPr>
        <w:rFonts w:hint="default"/>
        <w:lang w:val="en-US" w:eastAsia="en-US" w:bidi="ar-SA"/>
      </w:rPr>
    </w:lvl>
    <w:lvl w:ilvl="7">
      <w:numFmt w:val="bullet"/>
      <w:lvlText w:val="•"/>
      <w:lvlJc w:val="left"/>
      <w:pPr>
        <w:ind w:left="8298" w:hanging="435"/>
      </w:pPr>
      <w:rPr>
        <w:rFonts w:hint="default"/>
        <w:lang w:val="en-US" w:eastAsia="en-US" w:bidi="ar-SA"/>
      </w:rPr>
    </w:lvl>
    <w:lvl w:ilvl="8">
      <w:numFmt w:val="bullet"/>
      <w:lvlText w:val="•"/>
      <w:lvlJc w:val="left"/>
      <w:pPr>
        <w:ind w:left="9352" w:hanging="435"/>
      </w:pPr>
      <w:rPr>
        <w:rFonts w:hint="default"/>
        <w:lang w:val="en-US" w:eastAsia="en-US" w:bidi="ar-SA"/>
      </w:rPr>
    </w:lvl>
  </w:abstractNum>
  <w:abstractNum w:abstractNumId="7" w15:restartNumberingAfterBreak="0">
    <w:nsid w:val="735B9E67"/>
    <w:multiLevelType w:val="multilevel"/>
    <w:tmpl w:val="00000000"/>
    <w:lvl w:ilvl="0">
      <w:start w:val="10"/>
      <w:numFmt w:val="decimal"/>
      <w:lvlText w:val="%1"/>
      <w:lvlJc w:val="left"/>
      <w:pPr>
        <w:ind w:left="1199" w:hanging="720"/>
        <w:jc w:val="left"/>
      </w:pPr>
      <w:rPr>
        <w:rFonts w:hint="default"/>
        <w:lang w:val="en-US" w:eastAsia="en-US" w:bidi="ar-SA"/>
      </w:rPr>
    </w:lvl>
    <w:lvl w:ilvl="1">
      <w:start w:val="1"/>
      <w:numFmt w:val="decimal"/>
      <w:lvlText w:val="%1.%2"/>
      <w:lvlJc w:val="left"/>
      <w:pPr>
        <w:ind w:left="1199" w:hanging="720"/>
        <w:jc w:val="left"/>
      </w:pPr>
      <w:rPr>
        <w:rFonts w:ascii="Arial" w:eastAsia="Arial" w:hAnsi="Arial" w:cs="Arial" w:hint="default"/>
        <w:b w:val="0"/>
        <w:bCs w:val="0"/>
        <w:i w:val="0"/>
        <w:iCs w:val="0"/>
        <w:spacing w:val="-1"/>
        <w:w w:val="100"/>
        <w:sz w:val="20"/>
        <w:szCs w:val="20"/>
        <w:lang w:val="en-US" w:eastAsia="en-US" w:bidi="ar-SA"/>
      </w:rPr>
    </w:lvl>
    <w:lvl w:ilvl="2">
      <w:numFmt w:val="bullet"/>
      <w:lvlText w:val="•"/>
      <w:lvlJc w:val="left"/>
      <w:pPr>
        <w:ind w:left="3252" w:hanging="720"/>
      </w:pPr>
      <w:rPr>
        <w:rFonts w:hint="default"/>
        <w:lang w:val="en-US" w:eastAsia="en-US" w:bidi="ar-SA"/>
      </w:rPr>
    </w:lvl>
    <w:lvl w:ilvl="3">
      <w:numFmt w:val="bullet"/>
      <w:lvlText w:val="•"/>
      <w:lvlJc w:val="left"/>
      <w:pPr>
        <w:ind w:left="4278" w:hanging="720"/>
      </w:pPr>
      <w:rPr>
        <w:rFonts w:hint="default"/>
        <w:lang w:val="en-US" w:eastAsia="en-US" w:bidi="ar-SA"/>
      </w:rPr>
    </w:lvl>
    <w:lvl w:ilvl="4">
      <w:numFmt w:val="bullet"/>
      <w:lvlText w:val="•"/>
      <w:lvlJc w:val="left"/>
      <w:pPr>
        <w:ind w:left="5304" w:hanging="720"/>
      </w:pPr>
      <w:rPr>
        <w:rFonts w:hint="default"/>
        <w:lang w:val="en-US" w:eastAsia="en-US" w:bidi="ar-SA"/>
      </w:rPr>
    </w:lvl>
    <w:lvl w:ilvl="5">
      <w:numFmt w:val="bullet"/>
      <w:lvlText w:val="•"/>
      <w:lvlJc w:val="left"/>
      <w:pPr>
        <w:ind w:left="6330" w:hanging="720"/>
      </w:pPr>
      <w:rPr>
        <w:rFonts w:hint="default"/>
        <w:lang w:val="en-US" w:eastAsia="en-US" w:bidi="ar-SA"/>
      </w:rPr>
    </w:lvl>
    <w:lvl w:ilvl="6">
      <w:numFmt w:val="bullet"/>
      <w:lvlText w:val="•"/>
      <w:lvlJc w:val="left"/>
      <w:pPr>
        <w:ind w:left="7356" w:hanging="720"/>
      </w:pPr>
      <w:rPr>
        <w:rFonts w:hint="default"/>
        <w:lang w:val="en-US" w:eastAsia="en-US" w:bidi="ar-SA"/>
      </w:rPr>
    </w:lvl>
    <w:lvl w:ilvl="7">
      <w:numFmt w:val="bullet"/>
      <w:lvlText w:val="•"/>
      <w:lvlJc w:val="left"/>
      <w:pPr>
        <w:ind w:left="8382" w:hanging="720"/>
      </w:pPr>
      <w:rPr>
        <w:rFonts w:hint="default"/>
        <w:lang w:val="en-US" w:eastAsia="en-US" w:bidi="ar-SA"/>
      </w:rPr>
    </w:lvl>
    <w:lvl w:ilvl="8">
      <w:numFmt w:val="bullet"/>
      <w:lvlText w:val="•"/>
      <w:lvlJc w:val="left"/>
      <w:pPr>
        <w:ind w:left="9408" w:hanging="720"/>
      </w:pPr>
      <w:rPr>
        <w:rFonts w:hint="default"/>
        <w:lang w:val="en-US" w:eastAsia="en-US" w:bidi="ar-SA"/>
      </w:rPr>
    </w:lvl>
  </w:abstractNum>
  <w:num w:numId="1">
    <w:abstractNumId w:val="3"/>
  </w:num>
  <w:num w:numId="2">
    <w:abstractNumId w:val="7"/>
  </w:num>
  <w:num w:numId="3">
    <w:abstractNumId w:val="0"/>
  </w:num>
  <w:num w:numId="4">
    <w:abstractNumId w:val="4"/>
  </w:num>
  <w:num w:numId="5">
    <w:abstractNumId w:val="2"/>
  </w:num>
  <w:num w:numId="6">
    <w:abstractNumId w:val="5"/>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shapeLayoutLikeWW8/>
    <w:compatSetting w:name="compatibilityMode" w:uri="http://schemas.microsoft.com/office/word" w:val="14"/>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A6B2F831-00C9-4DF6-822C-60AEAF683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before="115" w:line="267" w:lineRule="exact"/>
      <w:ind w:left="911" w:hanging="432"/>
      <w:outlineLvl w:val="0"/>
    </w:pPr>
    <w:rPr>
      <w:rFonts w:ascii="Calibri" w:eastAsia="Calibri" w:hAnsi="Calibri" w:cs="Calibri"/>
      <w:b/>
      <w:bCs/>
    </w:rPr>
  </w:style>
  <w:style w:type="paragraph" w:styleId="Heading2">
    <w:name w:val="heading 2"/>
    <w:basedOn w:val="Normal"/>
    <w:uiPriority w:val="1"/>
    <w:qFormat/>
    <w:pPr>
      <w:ind w:left="477" w:hanging="223"/>
      <w:outlineLvl w:val="1"/>
    </w:pPr>
    <w:rPr>
      <w:b/>
      <w:bCs/>
      <w:sz w:val="20"/>
      <w:szCs w:val="20"/>
    </w:rPr>
  </w:style>
  <w:style w:type="paragraph" w:styleId="Heading3">
    <w:name w:val="heading 3"/>
    <w:basedOn w:val="Normal"/>
    <w:uiPriority w:val="1"/>
    <w:qFormat/>
    <w:pPr>
      <w:spacing w:before="118"/>
      <w:ind w:left="911"/>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rPr>
      <w:sz w:val="20"/>
      <w:szCs w:val="20"/>
    </w:rPr>
  </w:style>
  <w:style w:type="paragraph" w:styleId="Title">
    <w:name w:val="Title"/>
    <w:basedOn w:val="Normal"/>
    <w:uiPriority w:val="1"/>
    <w:qFormat/>
    <w:pPr>
      <w:spacing w:before="8"/>
      <w:ind w:left="20"/>
    </w:pPr>
    <w:rPr>
      <w:b/>
      <w:bCs/>
      <w:sz w:val="36"/>
      <w:szCs w:val="36"/>
    </w:rPr>
  </w:style>
  <w:style w:type="paragraph" w:styleId="ListParagraph">
    <w:name w:val="List Paragraph"/>
    <w:basedOn w:val="Normal"/>
    <w:uiPriority w:val="1"/>
    <w:qFormat/>
    <w:pPr>
      <w:spacing w:before="118"/>
      <w:ind w:left="911" w:hanging="432"/>
    </w:pPr>
  </w:style>
  <w:style w:type="paragraph" w:customStyle="1" w:styleId="TableParagraph">
    <w:name w:val="Table Paragraph"/>
    <w:basedOn w:val="Normal"/>
    <w:uiPriority w:val="1"/>
    <w:qFormat/>
    <w:pPr>
      <w:ind w:left="50"/>
    </w:p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ascii="Arial" w:eastAsia="Arial" w:hAnsi="Arial" w:cs="Arial"/>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1984</Words>
  <Characters>11315</Characters>
  <Application>Microsoft Office Word</Application>
  <DocSecurity>0</DocSecurity>
  <Lines>94</Lines>
  <Paragraphs>26</Paragraphs>
  <ScaleCrop>false</ScaleCrop>
  <Company/>
  <LinksUpToDate>false</LinksUpToDate>
  <CharactersWithSpaces>13273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EverGuard One-Part Pourable Sealant SDS 4054</dc:title>
  <cp:lastModifiedBy>William Clark</cp:lastModifiedBy>
  <cp:revision>2</cp:revision>
  <dcterms:created xsi:type="dcterms:W3CDTF">2025-02-04T13:28:00Z</dcterms:created>
  <dcterms:modified xsi:type="dcterms:W3CDTF">2025-02-11T15:55:00Z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2025-02-04T00:00:00Z</vt:filetime>
  </property>
  <property fmtid="{D5CDD505-2E9C-101B-9397-08002B2CF9AE}" pid="3" name="LastSaved">
    <vt:filetime>2025-02-04T00:00:00Z</vt:filetime>
  </property>
  <property fmtid="{D5CDD505-2E9C-101B-9397-08002B2CF9AE}" pid="4" name="Producer">
    <vt:lpwstr>Skia/PDF m133 Google Docs Renderer</vt:lpwstr>
  </property>
</Properties>
</file>